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C1" w:rsidRPr="002B55C1" w:rsidRDefault="002B55C1" w:rsidP="002B5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5C1">
        <w:rPr>
          <w:rFonts w:ascii="Times New Roman" w:eastAsia="Times New Roman" w:hAnsi="Times New Roman" w:cs="Times New Roman"/>
          <w:sz w:val="24"/>
          <w:szCs w:val="24"/>
          <w:lang w:val="ru-RU"/>
        </w:rPr>
        <w:t>Запит (</w:t>
      </w:r>
      <w:proofErr w:type="spellStart"/>
      <w:r w:rsidRPr="002B55C1">
        <w:rPr>
          <w:rFonts w:ascii="Times New Roman" w:eastAsia="Times New Roman" w:hAnsi="Times New Roman" w:cs="Times New Roman"/>
          <w:sz w:val="24"/>
          <w:szCs w:val="24"/>
          <w:lang w:val="ru-RU"/>
        </w:rPr>
        <w:t>ціни</w:t>
      </w:r>
      <w:proofErr w:type="spellEnd"/>
      <w:r w:rsidRPr="002B55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2B55C1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пропозицій</w:t>
      </w:r>
      <w:proofErr w:type="spellEnd"/>
    </w:p>
    <w:p w:rsidR="004D383D" w:rsidRDefault="004D383D" w:rsidP="004D383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E01929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березень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2024</w:t>
      </w:r>
    </w:p>
    <w:p w:rsidR="004D383D" w:rsidRDefault="004D383D" w:rsidP="004D38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4D383D" w:rsidRDefault="004D383D" w:rsidP="004D38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ТЕХНІЧНИХ, ЯКІСНИХ ТА КІЛЬКІСНИХ ХАРАКТЕРИСТИК ПРЕДМЕТА ЗАКУПІВЛІ, РОЗМІРУ БЮДЖЕТНОГО ПРИЗНАЧЕННЯ, ОЧІКУВАНОЇ ВАРТОСТІ ПРЕДМЕТА ЗАКУПІВЛІ</w:t>
      </w:r>
    </w:p>
    <w:p w:rsidR="004D383D" w:rsidRDefault="004D383D" w:rsidP="004D383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Назва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E01929" w:rsidRPr="00E01929" w:rsidRDefault="00E01929" w:rsidP="00E01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0192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ДК 021:2015: 33600000-6 — </w:t>
      </w:r>
      <w:proofErr w:type="spellStart"/>
      <w:r w:rsidRPr="00E0192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Фармацевтична</w:t>
      </w:r>
      <w:proofErr w:type="spellEnd"/>
      <w:r w:rsidRPr="00E0192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0192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продукція</w:t>
      </w:r>
      <w:proofErr w:type="spellEnd"/>
    </w:p>
    <w:p w:rsidR="00E01929" w:rsidRPr="00E01929" w:rsidRDefault="00E01929" w:rsidP="00E01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01929" w:rsidRDefault="00E01929" w:rsidP="00E01929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державного бюджету, виділених на впровадження та реалізацію нового механізму фінансового забезпечення надання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третинної (високоспеціалізованої) медичної допомоги</w:t>
      </w:r>
      <w:r>
        <w:rPr>
          <w:rFonts w:ascii="Times New Roman" w:hAnsi="Times New Roman" w:cs="Times New Roman"/>
          <w:sz w:val="24"/>
          <w:szCs w:val="24"/>
        </w:rPr>
        <w:t xml:space="preserve"> та беручи за основу потребу згідно протоколів лікування та медикаментозного забезпечення пацієнтів, а також враховуючи залишки на аптечному складі медикаментів та лікарських засобів, надходжень у вигляді благодійної допомоги та потреб відділень запланувала у 2023 році придбати фармацевтичну продукцію для забезпечення в основному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«специфічної» категорії пацієнтів Установи,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це рани утворені в нестерильних умовах (кульові, осколкові, вторинні (камінь, скло, цегла), нетабельні (шарикові, стрілоподібні), мінно-вибухові, які потребують довготривалого лікування не тільки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ортопедо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-травматичних та/або травматичних патологій, а й супутніх ускладнень.</w:t>
      </w:r>
    </w:p>
    <w:p w:rsidR="00E01929" w:rsidRDefault="00E01929" w:rsidP="00E019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>
        <w:rPr>
          <w:rFonts w:ascii="Times New Roman" w:eastAsia="Times New Roman" w:hAnsi="Times New Roman" w:cs="Times New Roman"/>
          <w:color w:val="0E1D2F"/>
          <w:sz w:val="24"/>
          <w:szCs w:val="24"/>
        </w:rPr>
        <w:t>Для виконання зазначених завдань/функцій Замовник повинен, зокрема, забезпечити себе необхідними лікарськими засобами з метою надання якісної медичної допомоги, а також медичних та знеболювальних засобів, що можуть знадобитися у процесі виконання таких функцій.</w:t>
      </w:r>
    </w:p>
    <w:p w:rsidR="00E01929" w:rsidRDefault="00E01929" w:rsidP="00E019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>
        <w:rPr>
          <w:rFonts w:ascii="Times New Roman" w:eastAsia="Times New Roman" w:hAnsi="Times New Roman" w:cs="Times New Roman"/>
          <w:color w:val="0E1D2F"/>
          <w:sz w:val="24"/>
          <w:szCs w:val="24"/>
        </w:rPr>
        <w:t>Обґрунтування обсягів закупівлі. Обсяги визначено відповідно до очікуваної потреби, обрахованої Замовником на основі фактичного використання медикаментів у попередньому році, залишками на аптечному складі, спонсорської допомоги та обсягу фінансування.</w:t>
      </w:r>
    </w:p>
    <w:p w:rsidR="00E01929" w:rsidRDefault="00E01929" w:rsidP="00E019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, та з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загальноприйнятих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зазначеного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.</w:t>
      </w:r>
    </w:p>
    <w:p w:rsidR="00E01929" w:rsidRDefault="00E01929" w:rsidP="00E01929">
      <w:pPr>
        <w:pStyle w:val="a7"/>
        <w:jc w:val="both"/>
        <w:rPr>
          <w:rFonts w:eastAsia="Times New Roman"/>
          <w:b/>
          <w:color w:val="0E1D2F"/>
          <w:szCs w:val="24"/>
          <w:lang w:val="ru-RU"/>
        </w:rPr>
      </w:pPr>
      <w:r>
        <w:rPr>
          <w:b/>
          <w:color w:val="0E1D2F"/>
          <w:lang w:val="ru-RU"/>
        </w:rPr>
        <w:t xml:space="preserve">ОБҐРУНТУВАННЯ ОЧІКУВАНОЇ ЦІНИ ЗАКУПІВЛІ/БЮДЖЕТНОГО ПРИЗНАЧЕННЯ. </w:t>
      </w:r>
    </w:p>
    <w:p w:rsidR="00E01929" w:rsidRPr="00E01929" w:rsidRDefault="00E01929" w:rsidP="00E01929">
      <w:pPr>
        <w:pStyle w:val="a7"/>
        <w:jc w:val="both"/>
        <w:rPr>
          <w:b/>
          <w:color w:val="000000"/>
          <w:lang w:val="uk-UA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r>
        <w:rPr>
          <w:color w:val="000000"/>
          <w:lang w:val="uk-UA"/>
        </w:rPr>
        <w:t>Ціни на запропоновані лікарські засоби не мають перевищувати рівень зареєстрованих оптово-відпускних цін з урахуванням граничних постачальницько-збутових та торговельних (роздрібних) надбавок, встановлених постановою Кабінету Міністрів України від 17 жовтня 2008 р. № 955 «Про заходи щодо стабілізації цін на лікарські засоби» зі змінами та з урахуванням вимог постанови Кабінету Міністрів України від 03 квітня 2019 року № 426 «Про референтне ціноутворення на деякі лікарські засоби, що закуповуються за бюджетні кошти». При обрахунку очікуваної вартості було застосовано формулу (ціна МОЗ (або референтна ціна) + 10% товарно-</w:t>
      </w:r>
      <w:proofErr w:type="spellStart"/>
      <w:r>
        <w:rPr>
          <w:color w:val="000000"/>
          <w:lang w:val="uk-UA"/>
        </w:rPr>
        <w:t>збутницька</w:t>
      </w:r>
      <w:proofErr w:type="spellEnd"/>
      <w:r>
        <w:rPr>
          <w:color w:val="000000"/>
          <w:lang w:val="uk-UA"/>
        </w:rPr>
        <w:t xml:space="preserve"> надбавка +7% ПДВ). </w:t>
      </w:r>
      <w:r w:rsidRPr="00E01929">
        <w:rPr>
          <w:b/>
          <w:color w:val="000000"/>
          <w:lang w:val="uk-UA"/>
        </w:rPr>
        <w:t>Перелік лікарських засобів та відповідно оголошення про закупівлю подаються відповідно до терміновості забезпечення установи медикаментами</w:t>
      </w:r>
    </w:p>
    <w:p w:rsidR="00E01929" w:rsidRDefault="00E01929" w:rsidP="00E0192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01929" w:rsidRDefault="00E01929" w:rsidP="00E0192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01929" w:rsidRDefault="00E01929" w:rsidP="00E0192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ОСНОВНІ ЗАВДАННЯ НАДАННЯ ВИСОКОСПЕЦІАЛІЗОВАНОЇ МЕДИЧНОЇ ДОПОМОГИ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929" w:rsidRDefault="00E01929" w:rsidP="00E01929">
      <w:pPr>
        <w:numPr>
          <w:ilvl w:val="0"/>
          <w:numId w:val="2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</w:rPr>
        <w:t>клініках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</w:rPr>
        <w:t xml:space="preserve"> Європи, Ізраїлю, США.</w:t>
      </w:r>
    </w:p>
    <w:p w:rsidR="00E01929" w:rsidRDefault="00E01929" w:rsidP="00E01929">
      <w:pPr>
        <w:numPr>
          <w:ilvl w:val="0"/>
          <w:numId w:val="2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E01929" w:rsidRDefault="00E01929" w:rsidP="00E01929">
      <w:pPr>
        <w:numPr>
          <w:ilvl w:val="0"/>
          <w:numId w:val="2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E01929" w:rsidRDefault="00E01929" w:rsidP="00E01929">
      <w:pPr>
        <w:numPr>
          <w:ilvl w:val="0"/>
          <w:numId w:val="2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E01929" w:rsidRDefault="00E01929" w:rsidP="00E01929">
      <w:pPr>
        <w:numPr>
          <w:ilvl w:val="0"/>
          <w:numId w:val="2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E01929" w:rsidRDefault="00E01929" w:rsidP="00E01929">
      <w:pPr>
        <w:numPr>
          <w:ilvl w:val="0"/>
          <w:numId w:val="2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E01929" w:rsidRDefault="00E01929" w:rsidP="00E01929">
      <w:pPr>
        <w:numPr>
          <w:ilvl w:val="0"/>
          <w:numId w:val="2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 Фахівці інституту є активними учасниками міжнародних товариств ортопедів-травматологів (SICOT//FESCH та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</w:rPr>
        <w:t>ін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</w:rPr>
        <w:t>).</w:t>
      </w:r>
    </w:p>
    <w:p w:rsidR="00E01929" w:rsidRDefault="00E01929" w:rsidP="00E01929">
      <w:pPr>
        <w:numPr>
          <w:ilvl w:val="0"/>
          <w:numId w:val="2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p w:rsidR="00E01929" w:rsidRDefault="00E01929" w:rsidP="00E01929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D383D" w:rsidRDefault="004D383D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FE51B7" w:rsidRDefault="00FE51B7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  <w:bookmarkStart w:id="0" w:name="_GoBack"/>
      <w:bookmarkEnd w:id="0"/>
    </w:p>
    <w:tbl>
      <w:tblPr>
        <w:tblW w:w="9408" w:type="dxa"/>
        <w:tblInd w:w="-5" w:type="dxa"/>
        <w:tblLook w:val="04A0" w:firstRow="1" w:lastRow="0" w:firstColumn="1" w:lastColumn="0" w:noHBand="0" w:noVBand="1"/>
      </w:tblPr>
      <w:tblGrid>
        <w:gridCol w:w="5367"/>
        <w:gridCol w:w="955"/>
        <w:gridCol w:w="879"/>
        <w:gridCol w:w="672"/>
        <w:gridCol w:w="2366"/>
      </w:tblGrid>
      <w:tr w:rsidR="00FE51B7" w:rsidRPr="00FE51B7" w:rsidTr="00FE51B7">
        <w:trPr>
          <w:trHeight w:val="39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Назва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предмета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закупівлі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Розмір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бюджетного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призначення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та/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або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очікувана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вартість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предмета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закупівлі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Вид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закупівлі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Номер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плану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Посилання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на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оголошену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закупівлю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FE51B7" w:rsidRPr="00FE51B7" w:rsidTr="00FE51B7">
        <w:trPr>
          <w:trHeight w:val="50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Фармацевтична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продукція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Низькомолекулярні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гепарини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антикоагулянти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(Comb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drug,Betamethasone,Dioxydine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Comb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drug,Nefopam,Paracetamol,Dexketoprofen,Nalbuphine,Arginine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hydrochloride,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Dexamethasone,Pregabalin,Betamethasone,Omeprazole,Omeprazole,Potassium and magnesium aspartate,VALIDOL,Tolperisone,Edaravone,Sevoflurane,Ketorolac,Hydrocortisone,Dextrose,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Meloxicam,Enoxaparin,Iohexol,Propofol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7 521 933 UAH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ціни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пропозицій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7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UA-P-2024-04-11-008357-a</w:t>
              </w:r>
            </w:hyperlink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8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37715f399af04317aff40144fc9586d3</w:t>
              </w:r>
            </w:hyperlink>
          </w:p>
        </w:tc>
      </w:tr>
      <w:tr w:rsidR="00FE51B7" w:rsidRPr="00FE51B7" w:rsidTr="00FE51B7">
        <w:trPr>
          <w:trHeight w:val="72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Фармацевтична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продукція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Epinephrine,Metamizole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sodium,Ascorbic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acid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vit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C),Atropine,Validol,Dexamethasone,Diclofenac,Diphenhydramine,Suxamethonium,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Drotaverine,Theophylline,Ketorolac,Caffeine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sodium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benzoate,Levofloxacin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Lidocaine,Magnesium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sulfate,Meropenem,Nalbuphine,Sodium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chloride,Sodium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chloride,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Sodium chloride,Nimesulide,Omeprazole,Paracetamol,Pentoxifylline,Platyphylline,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Pregabalin,Prednisolone,Neostigmine,Fluconazole,Furosemide,Cefuroxime,Cefuroxime,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Decamethoxine,Decamethoxine,Acetylsalicylic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acid, combinations excl.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Psycholeptics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Ibuprofen)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3 342 196 UAH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ціни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пропозицій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9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UA-P-2024-04-11-006319-a</w:t>
              </w:r>
            </w:hyperlink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10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81205d1039894a8ca3bc4863ea5482c6</w:t>
              </w:r>
            </w:hyperlink>
          </w:p>
        </w:tc>
      </w:tr>
      <w:tr w:rsidR="00FE51B7" w:rsidRPr="00FE51B7" w:rsidTr="00FE51B7">
        <w:trPr>
          <w:trHeight w:val="3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Фармацевтична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продукція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Azithromycin,Amikacin,Amikacin,Amoxicillin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Amoxicillin/ clavulanic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acid,Amoxicillin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 clavulanic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acid,Ampicillin,Acetylsalicylic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acid,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Kanamycin,Lidocaine,Linezolid,Linezolid,Magnesium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sulfate,Magnesium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sulfate,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Meropenem,Sodium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chloride,Electrolytes,Thiopental,Cefazolin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1 332 040 UAH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ціни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пропозицій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11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UA-P-2024-04-04-013088-a</w:t>
              </w:r>
            </w:hyperlink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12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7a16c736678e41de88ad8a2e7f6b5a56</w:t>
              </w:r>
            </w:hyperlink>
          </w:p>
        </w:tc>
      </w:tr>
      <w:tr w:rsidR="00FE51B7" w:rsidRPr="00FE51B7" w:rsidTr="00FE51B7">
        <w:trPr>
          <w:trHeight w:val="72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Фармацевтична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продукція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Aminocaproic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acid,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Esmolol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Aqua pro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injectioni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Gelatin agents, Glucose,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Decamethoxine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Decamethoxine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Paracetamol,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Dexmedetomidine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Dexketoprofen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Electrolytes in combination with other drugs, Bupivacaine,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Metronidazole,Sodium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hydrocarbonate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Sodium Chloride, Sodium Chloride,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Sodium Chloride, Sodium Chloride, Sodium Chloride, Comb drug, Comb drug, Comb drug,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Ropivacaine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Ropivacaine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Saccharated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iron oxide, Arginine hydrochloride, Vancomycin,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Metamizole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sodium,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Mexidol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Magnesium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sulfate,Nalbuphine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Tranexamic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acid,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Tranexamic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acid,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Citicoline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Ondansetron,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Methoxyflurane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Moxifloxacin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Enoxaparin)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9 400 050 UAH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ціни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пропозицій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13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UA-P-2024-04-04-011260-a</w:t>
              </w:r>
            </w:hyperlink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14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18fb445939a14b2b801c4d800bbb1111</w:t>
              </w:r>
            </w:hyperlink>
          </w:p>
        </w:tc>
      </w:tr>
      <w:tr w:rsidR="00FE51B7" w:rsidRPr="00FE51B7" w:rsidTr="00FE51B7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Фармацевтична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продукція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Наркотичні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препарати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 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Midazolam</w:t>
            </w: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32 100 UAH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ціни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пропозицій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15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UA-P-2024-03-07-008265-a</w:t>
              </w:r>
            </w:hyperlink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16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d25d96d929e241c3a2d78a365bad3c17</w:t>
              </w:r>
            </w:hyperlink>
          </w:p>
        </w:tc>
      </w:tr>
      <w:tr w:rsidR="00FE51B7" w:rsidRPr="00FE51B7" w:rsidTr="00FE51B7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Фармацевтична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продукція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Наркотичні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препарати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Trimeperidine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 Diazepam, Comb drug, Morphine)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6 048 000 UAH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ціни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пропозицій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17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UA-P-2024-03-07-007510-a</w:t>
              </w:r>
            </w:hyperlink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18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5743210ab08948f5a3ff41d84e8cd3d1</w:t>
              </w:r>
            </w:hyperlink>
          </w:p>
        </w:tc>
      </w:tr>
      <w:tr w:rsidR="00FE51B7" w:rsidRPr="00FE51B7" w:rsidTr="00FE51B7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Фармацевтична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продукція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Наркотичні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препарати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Fentanyl, Fentanyl, Diazepam,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Natrii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oxybutyras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Morphine, Ketamine)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1 268 000 UAH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ціни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пропозицій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19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UA-P-2024-03-</w:t>
              </w:r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lastRenderedPageBreak/>
                <w:t>07-006365-a</w:t>
              </w:r>
            </w:hyperlink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20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203d39dcf2f245c7b1063bee5681bd1b</w:t>
              </w:r>
            </w:hyperlink>
          </w:p>
        </w:tc>
      </w:tr>
      <w:tr w:rsidR="00FE51B7" w:rsidRPr="00FE51B7" w:rsidTr="00FE51B7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Спирт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етиловий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96% - 100мл, спирт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етиловий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70% - 100мл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492 200 UAH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ціни</w:t>
            </w:r>
            <w:proofErr w:type="spellEnd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E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пропозицій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21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UA-P-2024-03-06-004731-a</w:t>
              </w:r>
            </w:hyperlink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1B7" w:rsidRPr="00FE51B7" w:rsidRDefault="00FE51B7" w:rsidP="00FE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22" w:history="1">
              <w:r w:rsidRPr="00FE51B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2f4f33c6be7c4a59909c93247ebbbd77</w:t>
              </w:r>
            </w:hyperlink>
          </w:p>
        </w:tc>
      </w:tr>
    </w:tbl>
    <w:p w:rsidR="004F7622" w:rsidRDefault="004F7622" w:rsidP="004F76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</w:p>
    <w:sectPr w:rsidR="004F7622" w:rsidSect="00B207C3">
      <w:footerReference w:type="default" r:id="rId23"/>
      <w:pgSz w:w="12240" w:h="15840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96" w:rsidRDefault="003D2C96" w:rsidP="00C069E9">
      <w:pPr>
        <w:spacing w:after="0" w:line="240" w:lineRule="auto"/>
      </w:pPr>
      <w:r>
        <w:separator/>
      </w:r>
    </w:p>
  </w:endnote>
  <w:endnote w:type="continuationSeparator" w:id="0">
    <w:p w:rsidR="003D2C96" w:rsidRDefault="003D2C96" w:rsidP="00C0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780729"/>
      <w:docPartObj>
        <w:docPartGallery w:val="Page Numbers (Bottom of Page)"/>
        <w:docPartUnique/>
      </w:docPartObj>
    </w:sdtPr>
    <w:sdtEndPr/>
    <w:sdtContent>
      <w:p w:rsidR="004D383D" w:rsidRDefault="004D383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1B7" w:rsidRPr="00FE51B7">
          <w:rPr>
            <w:noProof/>
            <w:lang w:val="ru-RU"/>
          </w:rPr>
          <w:t>5</w:t>
        </w:r>
        <w:r>
          <w:fldChar w:fldCharType="end"/>
        </w:r>
      </w:p>
    </w:sdtContent>
  </w:sdt>
  <w:p w:rsidR="004D383D" w:rsidRDefault="004D38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96" w:rsidRDefault="003D2C96" w:rsidP="00C069E9">
      <w:pPr>
        <w:spacing w:after="0" w:line="240" w:lineRule="auto"/>
      </w:pPr>
      <w:r>
        <w:separator/>
      </w:r>
    </w:p>
  </w:footnote>
  <w:footnote w:type="continuationSeparator" w:id="0">
    <w:p w:rsidR="003D2C96" w:rsidRDefault="003D2C96" w:rsidP="00C0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138"/>
    <w:multiLevelType w:val="hybridMultilevel"/>
    <w:tmpl w:val="1E144D5A"/>
    <w:lvl w:ilvl="0" w:tplc="5862266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115A"/>
    <w:multiLevelType w:val="multilevel"/>
    <w:tmpl w:val="DC3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6ED7"/>
    <w:multiLevelType w:val="hybridMultilevel"/>
    <w:tmpl w:val="06869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955"/>
    <w:multiLevelType w:val="hybridMultilevel"/>
    <w:tmpl w:val="7A64A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CE3"/>
    <w:multiLevelType w:val="hybridMultilevel"/>
    <w:tmpl w:val="F1E46798"/>
    <w:lvl w:ilvl="0" w:tplc="CFBCEA24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A09BB"/>
    <w:multiLevelType w:val="multilevel"/>
    <w:tmpl w:val="F0F6BA86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52566"/>
    <w:multiLevelType w:val="hybridMultilevel"/>
    <w:tmpl w:val="9E8615BE"/>
    <w:lvl w:ilvl="0" w:tplc="1C6E0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A13A2"/>
    <w:multiLevelType w:val="hybridMultilevel"/>
    <w:tmpl w:val="478A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77F37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5787D"/>
    <w:multiLevelType w:val="multilevel"/>
    <w:tmpl w:val="48869506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41C95"/>
    <w:multiLevelType w:val="hybridMultilevel"/>
    <w:tmpl w:val="6AB41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20601"/>
    <w:multiLevelType w:val="hybridMultilevel"/>
    <w:tmpl w:val="EA86D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C547A"/>
    <w:multiLevelType w:val="multilevel"/>
    <w:tmpl w:val="3F6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970BE4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5"/>
  </w:num>
  <w:num w:numId="8">
    <w:abstractNumId w:val="0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</w:num>
  <w:num w:numId="14">
    <w:abstractNumId w:val="10"/>
  </w:num>
  <w:num w:numId="15">
    <w:abstractNumId w:val="12"/>
  </w:num>
  <w:num w:numId="16">
    <w:abstractNumId w:val="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164618"/>
    <w:rsid w:val="0020465D"/>
    <w:rsid w:val="002201AF"/>
    <w:rsid w:val="00261EEC"/>
    <w:rsid w:val="002A10EA"/>
    <w:rsid w:val="002A7016"/>
    <w:rsid w:val="002B55C1"/>
    <w:rsid w:val="00303E1B"/>
    <w:rsid w:val="00352745"/>
    <w:rsid w:val="003D2C96"/>
    <w:rsid w:val="003F22BB"/>
    <w:rsid w:val="00446B68"/>
    <w:rsid w:val="00454B35"/>
    <w:rsid w:val="004631D1"/>
    <w:rsid w:val="00465487"/>
    <w:rsid w:val="004D383D"/>
    <w:rsid w:val="004F2E8F"/>
    <w:rsid w:val="004F7622"/>
    <w:rsid w:val="0050135A"/>
    <w:rsid w:val="005C14D4"/>
    <w:rsid w:val="005C31D5"/>
    <w:rsid w:val="006E68A6"/>
    <w:rsid w:val="00720F50"/>
    <w:rsid w:val="00753378"/>
    <w:rsid w:val="007776FF"/>
    <w:rsid w:val="007F3FFA"/>
    <w:rsid w:val="00801230"/>
    <w:rsid w:val="00886602"/>
    <w:rsid w:val="00933A71"/>
    <w:rsid w:val="00961975"/>
    <w:rsid w:val="00982F96"/>
    <w:rsid w:val="00AD003C"/>
    <w:rsid w:val="00B207C3"/>
    <w:rsid w:val="00C069E9"/>
    <w:rsid w:val="00C329E9"/>
    <w:rsid w:val="00D002B6"/>
    <w:rsid w:val="00E0150E"/>
    <w:rsid w:val="00E01929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CB29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6E68A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3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екст таблицы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character" w:customStyle="1" w:styleId="10">
    <w:name w:val="Заголовок 1 Знак"/>
    <w:basedOn w:val="a0"/>
    <w:link w:val="1"/>
    <w:rsid w:val="006E68A6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1"/>
    <w:uiPriority w:val="99"/>
    <w:semiHidden/>
    <w:unhideWhenUsed/>
    <w:rsid w:val="006E6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uiPriority w:val="99"/>
    <w:semiHidden/>
    <w:rsid w:val="006E68A6"/>
    <w:rPr>
      <w:rFonts w:ascii="Consolas" w:hAnsi="Consolas"/>
      <w:sz w:val="20"/>
      <w:szCs w:val="20"/>
      <w:lang w:val="uk-UA"/>
    </w:rPr>
  </w:style>
  <w:style w:type="character" w:customStyle="1" w:styleId="a6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semiHidden/>
    <w:locked/>
    <w:rsid w:val="006E68A6"/>
    <w:rPr>
      <w:rFonts w:ascii="Times New Roman" w:hAnsi="Times New Roman" w:cs="Times New Roman"/>
      <w:sz w:val="24"/>
      <w:lang w:eastAsia="ar-SA"/>
    </w:rPr>
  </w:style>
  <w:style w:type="paragraph" w:styleId="a7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semiHidden/>
    <w:unhideWhenUsed/>
    <w:qFormat/>
    <w:rsid w:val="006E68A6"/>
    <w:pPr>
      <w:suppressAutoHyphens/>
      <w:spacing w:before="280" w:after="280" w:line="240" w:lineRule="auto"/>
    </w:pPr>
    <w:rPr>
      <w:rFonts w:ascii="Times New Roman" w:hAnsi="Times New Roman" w:cs="Times New Roman"/>
      <w:sz w:val="24"/>
      <w:lang w:val="en-US"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6E68A6"/>
    <w:rPr>
      <w:rFonts w:ascii="Courier New" w:eastAsia="Calibri" w:hAnsi="Courier New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4654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  <w:style w:type="character" w:customStyle="1" w:styleId="21">
    <w:name w:val="Основной шрифт абзаца2"/>
    <w:rsid w:val="00465487"/>
  </w:style>
  <w:style w:type="character" w:customStyle="1" w:styleId="22">
    <w:name w:val="Основной текст (2)_"/>
    <w:basedOn w:val="a0"/>
    <w:link w:val="23"/>
    <w:locked/>
    <w:rsid w:val="004631D1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631D1"/>
    <w:pPr>
      <w:widowControl w:val="0"/>
      <w:shd w:val="clear" w:color="auto" w:fill="FFFFFF"/>
      <w:spacing w:after="720" w:line="0" w:lineRule="atLeast"/>
      <w:jc w:val="center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NoSpacingChar1">
    <w:name w:val="No Spacing Char1"/>
    <w:link w:val="11"/>
    <w:locked/>
    <w:rsid w:val="00AD003C"/>
  </w:style>
  <w:style w:type="paragraph" w:customStyle="1" w:styleId="11">
    <w:name w:val="Без интервала1"/>
    <w:link w:val="NoSpacingChar1"/>
    <w:rsid w:val="00AD003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015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styleId="a8">
    <w:name w:val="Hyperlink"/>
    <w:basedOn w:val="a0"/>
    <w:uiPriority w:val="99"/>
    <w:semiHidden/>
    <w:unhideWhenUsed/>
    <w:rsid w:val="00E0150E"/>
    <w:rPr>
      <w:color w:val="0000FF"/>
      <w:u w:val="single"/>
    </w:rPr>
  </w:style>
  <w:style w:type="character" w:styleId="a9">
    <w:name w:val="Strong"/>
    <w:basedOn w:val="a0"/>
    <w:uiPriority w:val="22"/>
    <w:qFormat/>
    <w:rsid w:val="00E0150E"/>
    <w:rPr>
      <w:b/>
      <w:bCs/>
    </w:rPr>
  </w:style>
  <w:style w:type="character" w:styleId="aa">
    <w:name w:val="Emphasis"/>
    <w:basedOn w:val="a0"/>
    <w:uiPriority w:val="20"/>
    <w:qFormat/>
    <w:rsid w:val="00E0150E"/>
    <w:rPr>
      <w:i/>
      <w:iCs/>
    </w:rPr>
  </w:style>
  <w:style w:type="character" w:customStyle="1" w:styleId="a5">
    <w:name w:val="Абзац списка Знак"/>
    <w:aliases w:val="Текст таблицы Знак"/>
    <w:link w:val="a4"/>
    <w:uiPriority w:val="34"/>
    <w:locked/>
    <w:rsid w:val="00C329E9"/>
    <w:rPr>
      <w:rFonts w:ascii="Calibri" w:eastAsia="Times New Roman" w:hAnsi="Calibri" w:cs="Times New Roman"/>
      <w:lang w:val="uk-UA"/>
    </w:rPr>
  </w:style>
  <w:style w:type="paragraph" w:styleId="ab">
    <w:name w:val="header"/>
    <w:basedOn w:val="a"/>
    <w:link w:val="ac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69E9"/>
    <w:rPr>
      <w:lang w:val="uk-UA"/>
    </w:rPr>
  </w:style>
  <w:style w:type="paragraph" w:styleId="ad">
    <w:name w:val="footer"/>
    <w:basedOn w:val="a"/>
    <w:link w:val="ae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69E9"/>
    <w:rPr>
      <w:lang w:val="uk-UA"/>
    </w:rPr>
  </w:style>
  <w:style w:type="character" w:customStyle="1" w:styleId="docdata">
    <w:name w:val="docdata"/>
    <w:aliases w:val="docy,v5,3716,baiaagaaboqcaaadqqqaaawkcgaaaaaaaaaaaaaaaaaaaaaaaaaaaaaaaaaaaaaaaaaaaaaaaaaaaaaaaaaaaaaaaaaaaaaaaaaaaaaaaaaaaaaaaaaaaaaaaaaaaaaaaaaaaaaaaaaaaaaaaaaaaaaaaaaaaaaaaaaaaaaaaaaaaaaaaaaaaaaaaaaaaaaaaaaaaaaaaaaaaaaaaaaaaaaaaaaaaaaaaaaaaaaa"/>
    <w:basedOn w:val="a0"/>
    <w:rsid w:val="002A10EA"/>
  </w:style>
  <w:style w:type="character" w:styleId="af">
    <w:name w:val="FollowedHyperlink"/>
    <w:basedOn w:val="a0"/>
    <w:uiPriority w:val="99"/>
    <w:semiHidden/>
    <w:unhideWhenUsed/>
    <w:rsid w:val="00352745"/>
    <w:rPr>
      <w:color w:val="954F72" w:themeColor="followedHyperlink"/>
      <w:u w:val="single"/>
    </w:rPr>
  </w:style>
  <w:style w:type="character" w:customStyle="1" w:styleId="hps">
    <w:name w:val="hps"/>
    <w:rsid w:val="0035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37715f399af04317aff40144fc9586d3" TargetMode="External"/><Relationship Id="rId13" Type="http://schemas.openxmlformats.org/officeDocument/2006/relationships/hyperlink" Target="https://prozorro.gov.ua/plan/UA-P-2024-04-04-011260-a" TargetMode="External"/><Relationship Id="rId18" Type="http://schemas.openxmlformats.org/officeDocument/2006/relationships/hyperlink" Target="https://prozorro.gov.ua/tender/5743210ab08948f5a3ff41d84e8cd3d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zorro.gov.ua/plan/UA-P-2024-03-06-004731-a" TargetMode="External"/><Relationship Id="rId7" Type="http://schemas.openxmlformats.org/officeDocument/2006/relationships/hyperlink" Target="https://prozorro.gov.ua/plan/UA-P-2024-04-11-008357-a" TargetMode="External"/><Relationship Id="rId12" Type="http://schemas.openxmlformats.org/officeDocument/2006/relationships/hyperlink" Target="https://prozorro.gov.ua/tender/7a16c736678e41de88ad8a2e7f6b5a56" TargetMode="External"/><Relationship Id="rId17" Type="http://schemas.openxmlformats.org/officeDocument/2006/relationships/hyperlink" Target="https://prozorro.gov.ua/plan/UA-P-2024-03-07-007510-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ozorro.gov.ua/tender/d25d96d929e241c3a2d78a365bad3c17" TargetMode="External"/><Relationship Id="rId20" Type="http://schemas.openxmlformats.org/officeDocument/2006/relationships/hyperlink" Target="https://prozorro.gov.ua/tender/203d39dcf2f245c7b1063bee5681bd1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zorro.gov.ua/plan/UA-P-2024-04-04-013088-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rozorro.gov.ua/plan/UA-P-2024-03-07-008265-a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rozorro.gov.ua/tender/81205d1039894a8ca3bc4863ea5482c6" TargetMode="External"/><Relationship Id="rId19" Type="http://schemas.openxmlformats.org/officeDocument/2006/relationships/hyperlink" Target="https://prozorro.gov.ua/plan/UA-P-2024-03-07-006365-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gov.ua/plan/UA-P-2024-04-11-006319-a" TargetMode="External"/><Relationship Id="rId14" Type="http://schemas.openxmlformats.org/officeDocument/2006/relationships/hyperlink" Target="https://prozorro.gov.ua/tender/18fb445939a14b2b801c4d800bbb1111" TargetMode="External"/><Relationship Id="rId22" Type="http://schemas.openxmlformats.org/officeDocument/2006/relationships/hyperlink" Target="https://prozorro.gov.ua/tender/2f4f33c6be7c4a59909c93247ebbbd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3</cp:revision>
  <dcterms:created xsi:type="dcterms:W3CDTF">2024-04-17T09:59:00Z</dcterms:created>
  <dcterms:modified xsi:type="dcterms:W3CDTF">2024-04-17T11:41:00Z</dcterms:modified>
</cp:coreProperties>
</file>