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9C" w:rsidRPr="00B2669C" w:rsidRDefault="00B2669C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B34935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червень</w:t>
      </w:r>
      <w:r w:rsidR="00F536B5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-</w:t>
      </w:r>
      <w:proofErr w:type="gramStart"/>
      <w:r w:rsidR="00F536B5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липень</w:t>
      </w:r>
      <w:proofErr w:type="spellEnd"/>
      <w:r w:rsidR="00A0126A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</w:t>
      </w:r>
      <w:r w:rsidRPr="00B2669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A0126A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4</w:t>
      </w:r>
      <w:proofErr w:type="gramEnd"/>
    </w:p>
    <w:p w:rsidR="000E2148" w:rsidRPr="00B325D2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BD3679" w:rsidRDefault="000E2148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</w:t>
      </w:r>
      <w:r w:rsidR="00213167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ЯКІСНИХ </w:t>
      </w: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ТА КІЛЬКІСНИХ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764342" w:rsidRDefault="00764342" w:rsidP="0076434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СЛОВНИКОМ: </w:t>
      </w:r>
    </w:p>
    <w:p w:rsidR="00764342" w:rsidRDefault="00863C0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МЕДИЧНІ ВИРОБИ</w:t>
      </w:r>
    </w:p>
    <w:p w:rsidR="00764342" w:rsidRDefault="00764342" w:rsidP="00764342">
      <w:pPr>
        <w:pStyle w:val="HTML"/>
        <w:ind w:left="786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код за ДК 021:2015:   </w:t>
      </w:r>
    </w:p>
    <w:p w:rsidR="00526945" w:rsidRPr="00526945" w:rsidRDefault="00526945" w:rsidP="00355FDD">
      <w:pPr>
        <w:pStyle w:val="1"/>
        <w:shd w:val="clear" w:color="auto" w:fill="F3F7FA"/>
        <w:spacing w:before="161" w:after="225" w:line="375" w:lineRule="atLeast"/>
        <w:rPr>
          <w:rFonts w:ascii="Times New Roman" w:eastAsiaTheme="minorHAnsi" w:hAnsi="Times New Roman" w:cs="Times New Roman"/>
          <w:b/>
          <w:color w:val="555555"/>
          <w:sz w:val="28"/>
          <w:szCs w:val="28"/>
          <w:shd w:val="clear" w:color="auto" w:fill="EEEEEE"/>
        </w:rPr>
      </w:pPr>
      <w:r w:rsidRPr="00526945">
        <w:rPr>
          <w:rFonts w:ascii="Times New Roman" w:eastAsiaTheme="minorHAnsi" w:hAnsi="Times New Roman" w:cs="Times New Roman"/>
          <w:b/>
          <w:color w:val="555555"/>
          <w:sz w:val="28"/>
          <w:szCs w:val="28"/>
          <w:shd w:val="clear" w:color="auto" w:fill="EEEEEE"/>
        </w:rPr>
        <w:t>33171000-9</w:t>
      </w:r>
      <w:r w:rsidRPr="00526945">
        <w:rPr>
          <w:rFonts w:ascii="Times New Roman" w:eastAsiaTheme="minorHAnsi" w:hAnsi="Times New Roman" w:cs="Times New Roman"/>
          <w:b/>
          <w:color w:val="555555"/>
          <w:sz w:val="28"/>
          <w:szCs w:val="28"/>
        </w:rPr>
        <w:br/>
      </w:r>
      <w:r w:rsidRPr="00526945">
        <w:rPr>
          <w:rFonts w:ascii="Times New Roman" w:eastAsiaTheme="minorHAnsi" w:hAnsi="Times New Roman" w:cs="Times New Roman"/>
          <w:b/>
          <w:color w:val="555555"/>
          <w:sz w:val="28"/>
          <w:szCs w:val="28"/>
          <w:shd w:val="clear" w:color="auto" w:fill="EEEEEE"/>
        </w:rPr>
        <w:t>Анестезійні та реанімаційні інструменти</w:t>
      </w:r>
    </w:p>
    <w:p w:rsidR="00526945" w:rsidRPr="00526945" w:rsidRDefault="00526945" w:rsidP="00526945">
      <w:pPr>
        <w:pStyle w:val="1"/>
        <w:shd w:val="clear" w:color="auto" w:fill="F3F7FA"/>
        <w:spacing w:before="161" w:after="225" w:line="375" w:lineRule="atLeast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26945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Обладнання для анестезіології та реанімації (Набори для анестезії, голки з ізоляцією, маски дихальні, з’єднувачі, </w:t>
      </w:r>
      <w:proofErr w:type="spellStart"/>
      <w:r w:rsidRPr="00526945">
        <w:rPr>
          <w:rFonts w:ascii="Times New Roman" w:hAnsi="Times New Roman" w:cs="Times New Roman"/>
          <w:b/>
          <w:color w:val="333333"/>
          <w:sz w:val="28"/>
          <w:szCs w:val="28"/>
        </w:rPr>
        <w:t>бужи</w:t>
      </w:r>
      <w:proofErr w:type="spellEnd"/>
      <w:r w:rsidRPr="00526945">
        <w:rPr>
          <w:rFonts w:ascii="Times New Roman" w:hAnsi="Times New Roman" w:cs="Times New Roman"/>
          <w:b/>
          <w:color w:val="333333"/>
          <w:sz w:val="28"/>
          <w:szCs w:val="28"/>
        </w:rPr>
        <w:t>, датчики)</w:t>
      </w:r>
    </w:p>
    <w:p w:rsidR="00764342" w:rsidRPr="00764342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державного бюджету, виділених на впровадження та реалізацію нового механізму фінансового забезпечення надання </w:t>
      </w:r>
      <w:r w:rsidRPr="00764342">
        <w:rPr>
          <w:rFonts w:ascii="Times New Roman" w:hAnsi="Times New Roman" w:cs="Times New Roman"/>
          <w:sz w:val="24"/>
          <w:szCs w:val="24"/>
          <w:lang w:eastAsia="ru-RU"/>
        </w:rPr>
        <w:t>третинної (високоспеціалізованої) медичної допомоги</w:t>
      </w:r>
      <w:r w:rsidRPr="00764342">
        <w:rPr>
          <w:rFonts w:ascii="Times New Roman" w:hAnsi="Times New Roman" w:cs="Times New Roman"/>
          <w:sz w:val="24"/>
          <w:szCs w:val="24"/>
        </w:rPr>
        <w:t xml:space="preserve"> та беручи за основу потребу згідно протоколів лікування та забезпечення пацієнтів, а також враховуючи залишки на аптечному складі </w:t>
      </w:r>
      <w:r w:rsidR="00B5408F">
        <w:rPr>
          <w:rFonts w:ascii="Times New Roman" w:hAnsi="Times New Roman" w:cs="Times New Roman"/>
          <w:sz w:val="24"/>
          <w:szCs w:val="24"/>
        </w:rPr>
        <w:t>виробів медичного призначення (далі ВМП)</w:t>
      </w:r>
      <w:r w:rsidRPr="00764342">
        <w:rPr>
          <w:rFonts w:ascii="Times New Roman" w:hAnsi="Times New Roman" w:cs="Times New Roman"/>
          <w:sz w:val="24"/>
          <w:szCs w:val="24"/>
        </w:rPr>
        <w:t>, надходжень у вигляді благодійної допомоги та потреб відділень запланувала у 202</w:t>
      </w:r>
      <w:r w:rsidR="00A0126A" w:rsidRPr="00A0126A">
        <w:rPr>
          <w:rFonts w:ascii="Times New Roman" w:hAnsi="Times New Roman" w:cs="Times New Roman"/>
          <w:sz w:val="24"/>
          <w:szCs w:val="24"/>
        </w:rPr>
        <w:t>4</w:t>
      </w:r>
      <w:r w:rsidRPr="00764342">
        <w:rPr>
          <w:rFonts w:ascii="Times New Roman" w:hAnsi="Times New Roman" w:cs="Times New Roman"/>
          <w:sz w:val="24"/>
          <w:szCs w:val="24"/>
        </w:rPr>
        <w:t xml:space="preserve"> році придбати </w:t>
      </w:r>
      <w:r w:rsidR="00B5408F">
        <w:rPr>
          <w:rFonts w:ascii="Times New Roman" w:hAnsi="Times New Roman" w:cs="Times New Roman"/>
          <w:sz w:val="24"/>
          <w:szCs w:val="24"/>
        </w:rPr>
        <w:t>ВМП</w:t>
      </w:r>
      <w:r w:rsidRPr="00764342">
        <w:rPr>
          <w:rFonts w:ascii="Times New Roman" w:hAnsi="Times New Roman" w:cs="Times New Roman"/>
          <w:sz w:val="24"/>
          <w:szCs w:val="24"/>
        </w:rPr>
        <w:t xml:space="preserve"> для забезпечення в основному </w:t>
      </w:r>
      <w:r w:rsidRPr="007643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«специфічної» категорії пацієнтів Установи, </w:t>
      </w:r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це рани утворені в нестерильних умовах (кульові, осколкові, вторинні (камінь, скло, цегла), нетабельні (шарикові, стрілоподібні), мінно-вибухові, які потребують довготривалого лікування не тільки </w:t>
      </w:r>
      <w:proofErr w:type="spellStart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ортопедо</w:t>
      </w:r>
      <w:proofErr w:type="spellEnd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-травматичних та/або травматичних патологій, а й супутніх ускладнень.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Для виконання зазначених завдань/функцій Замовник повинен, зокрема, забезпечити себе необхідними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з метою надання якісної медичної допомоги, а також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проведення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оперативних </w:t>
      </w:r>
      <w:proofErr w:type="spellStart"/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втручань</w:t>
      </w:r>
      <w:proofErr w:type="spellEnd"/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за потребою відділен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ня</w:t>
      </w:r>
      <w:r w:rsidR="00526945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реанімації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, що 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вкрай необх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="00A0126A" w:rsidRP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дн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і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</w:t>
      </w:r>
      <w:r w:rsidR="00A0126A">
        <w:rPr>
          <w:rFonts w:ascii="Times New Roman" w:eastAsia="Times New Roman" w:hAnsi="Times New Roman" w:cs="Times New Roman"/>
          <w:color w:val="0E1D2F"/>
          <w:sz w:val="24"/>
          <w:szCs w:val="24"/>
        </w:rPr>
        <w:t>в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процесі виконання таких функцій.</w:t>
      </w:r>
    </w:p>
    <w:p w:rsidR="00764342" w:rsidRPr="00F62157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Обґрунтування обсягів закупівлі. Обсяги визначено відповідно до очікуваної потреби, обрахованої Замовником на основі фактичного використання </w:t>
      </w:r>
      <w:r w:rsidR="00B5408F">
        <w:rPr>
          <w:rFonts w:ascii="Times New Roman" w:eastAsia="Times New Roman" w:hAnsi="Times New Roman" w:cs="Times New Roman"/>
          <w:color w:val="0E1D2F"/>
          <w:sz w:val="24"/>
          <w:szCs w:val="24"/>
        </w:rPr>
        <w:t>ВМП</w:t>
      </w:r>
      <w:r w:rsidRPr="00F62157">
        <w:rPr>
          <w:rFonts w:ascii="Times New Roman" w:eastAsia="Times New Roman" w:hAnsi="Times New Roman" w:cs="Times New Roman"/>
          <w:color w:val="0E1D2F"/>
          <w:sz w:val="24"/>
          <w:szCs w:val="24"/>
        </w:rPr>
        <w:t xml:space="preserve"> у попередньому році, залишками на аптечному складі, спонсорської допомоги та обсягу фінансування.</w:t>
      </w: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, та з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загальноприйнятих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зазначеного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.</w:t>
      </w:r>
    </w:p>
    <w:p w:rsidR="00764342" w:rsidRPr="00764342" w:rsidRDefault="00764342" w:rsidP="00764342">
      <w:pPr>
        <w:pStyle w:val="a6"/>
        <w:jc w:val="both"/>
        <w:rPr>
          <w:b/>
          <w:color w:val="0E1D2F"/>
          <w:lang w:val="ru-RU"/>
        </w:rPr>
      </w:pPr>
      <w:r w:rsidRPr="00764342">
        <w:rPr>
          <w:b/>
          <w:color w:val="0E1D2F"/>
          <w:lang w:val="ru-RU"/>
        </w:rPr>
        <w:t xml:space="preserve">ОБҐРУНТУВАННЯ ОЧІКУВАНОЇ ЦІНИ ЗАКУПІВЛІ/БЮДЖЕТНОГО ПРИЗНАЧЕННЯ. </w:t>
      </w:r>
    </w:p>
    <w:p w:rsidR="00764342" w:rsidRPr="00B34935" w:rsidRDefault="00764342" w:rsidP="00764342">
      <w:pPr>
        <w:pStyle w:val="a6"/>
        <w:jc w:val="both"/>
        <w:rPr>
          <w:color w:val="000000"/>
          <w:lang w:val="ru-RU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r w:rsidRPr="00863C02">
        <w:rPr>
          <w:lang w:val="uk-UA"/>
        </w:rPr>
        <w:t xml:space="preserve">При обрахунку очікуваної вартості було </w:t>
      </w:r>
      <w:r w:rsidR="00863C02">
        <w:rPr>
          <w:lang w:val="uk-UA"/>
        </w:rPr>
        <w:t xml:space="preserve">проведено моніторинг цін у відкритих джерелах на аналогічні ВМП, отримані пропозиції постачальників, а також </w:t>
      </w:r>
      <w:r w:rsidRPr="00863C02">
        <w:rPr>
          <w:lang w:val="uk-UA"/>
        </w:rPr>
        <w:t>застосовано формулу (</w:t>
      </w:r>
      <w:r>
        <w:rPr>
          <w:color w:val="000000"/>
          <w:lang w:val="uk-UA"/>
        </w:rPr>
        <w:t>ціна</w:t>
      </w:r>
      <w:r w:rsidR="00A0126A">
        <w:rPr>
          <w:color w:val="000000"/>
          <w:lang w:val="uk-UA"/>
        </w:rPr>
        <w:t xml:space="preserve"> наших закупівель 2023</w:t>
      </w:r>
      <w:r>
        <w:rPr>
          <w:color w:val="000000"/>
          <w:lang w:val="uk-UA"/>
        </w:rPr>
        <w:t xml:space="preserve"> + 10% товарн</w:t>
      </w:r>
      <w:r w:rsidR="00863C02">
        <w:rPr>
          <w:color w:val="000000"/>
          <w:lang w:val="uk-UA"/>
        </w:rPr>
        <w:t>о-</w:t>
      </w:r>
      <w:proofErr w:type="spellStart"/>
      <w:r w:rsidR="00863C02">
        <w:rPr>
          <w:color w:val="000000"/>
          <w:lang w:val="uk-UA"/>
        </w:rPr>
        <w:t>збутницька</w:t>
      </w:r>
      <w:proofErr w:type="spellEnd"/>
      <w:r w:rsidR="00863C02">
        <w:rPr>
          <w:color w:val="000000"/>
          <w:lang w:val="uk-UA"/>
        </w:rPr>
        <w:t xml:space="preserve"> надбавка +7% ПДВ)</w:t>
      </w:r>
      <w:r w:rsidR="00B34935">
        <w:rPr>
          <w:color w:val="000000"/>
          <w:lang w:val="uk-UA"/>
        </w:rPr>
        <w:t xml:space="preserve"> </w:t>
      </w:r>
      <w:r w:rsidR="00F536B5">
        <w:rPr>
          <w:color w:val="000000"/>
          <w:lang w:val="uk-UA"/>
        </w:rPr>
        <w:t>–</w:t>
      </w:r>
      <w:r w:rsidR="00B34935">
        <w:rPr>
          <w:color w:val="000000"/>
          <w:lang w:val="uk-UA"/>
        </w:rPr>
        <w:t xml:space="preserve"> </w:t>
      </w:r>
      <w:r w:rsidR="00F536B5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 xml:space="preserve">2 </w:t>
      </w:r>
      <w:r w:rsidR="00526945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>509</w:t>
      </w:r>
      <w:r w:rsidR="00355FDD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>,</w:t>
      </w:r>
      <w:r w:rsidR="00526945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>7</w:t>
      </w:r>
      <w:r w:rsidR="00355FDD">
        <w:rPr>
          <w:rStyle w:val="fwn"/>
          <w:b/>
          <w:color w:val="000000" w:themeColor="text1"/>
          <w:sz w:val="28"/>
          <w:szCs w:val="28"/>
          <w:shd w:val="clear" w:color="auto" w:fill="CFD3D6"/>
          <w:lang w:val="ru-RU"/>
        </w:rPr>
        <w:t xml:space="preserve"> тис.</w:t>
      </w:r>
      <w:r w:rsidR="00B34935" w:rsidRPr="00331C4F">
        <w:rPr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rStyle w:val="fwn"/>
          <w:b/>
          <w:color w:val="000000" w:themeColor="text1"/>
          <w:sz w:val="28"/>
          <w:szCs w:val="28"/>
          <w:shd w:val="clear" w:color="auto" w:fill="CFD3D6"/>
        </w:rPr>
        <w:t>UAH</w:t>
      </w:r>
      <w:r w:rsidR="00B34935" w:rsidRPr="00331C4F">
        <w:rPr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 w:rsidR="00B34935" w:rsidRPr="00331C4F">
        <w:rPr>
          <w:b/>
          <w:i/>
          <w:iCs/>
          <w:color w:val="000000" w:themeColor="text1"/>
          <w:sz w:val="28"/>
          <w:szCs w:val="28"/>
          <w:shd w:val="clear" w:color="auto" w:fill="CFD3D6"/>
          <w:lang w:val="ru-RU"/>
        </w:rPr>
        <w:t>(з ПДВ)</w:t>
      </w:r>
    </w:p>
    <w:p w:rsidR="00213167" w:rsidRPr="00B325D2" w:rsidRDefault="00213167" w:rsidP="00A43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клініках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 Європи, Ізраїлю, США.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Фахівці інституту є активними учасниками міжнародних товариств ортопедів-травматологів (SICOT//FESCH та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ін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>).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p w:rsidR="0019709B" w:rsidRDefault="0019709B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64342" w:rsidRDefault="00764342" w:rsidP="007776FF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</w:p>
    <w:p w:rsidR="007776FF" w:rsidRPr="00B325D2" w:rsidRDefault="00764342" w:rsidP="0077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ЗАПРОПОНОВАНИЙ УЧАСНИКОМ ТОВАР ПОВИНЕН ВІДПОВІДАТИ </w:t>
      </w:r>
      <w:r w:rsidR="00863C02"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ОСНОВНИМ 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ВИМОГАМ</w:t>
      </w:r>
      <w:r>
        <w:rPr>
          <w:rStyle w:val="Arial3"/>
          <w:rFonts w:ascii="Times New Roman" w:hAnsi="Times New Roman" w:cs="Times New Roman"/>
          <w:bCs/>
          <w:sz w:val="24"/>
          <w:szCs w:val="24"/>
        </w:rPr>
        <w:t xml:space="preserve"> (МОЖУТЬ ВІДРІЗНЯТИСЬ, В ЗАЛЕЖНОСТІ ВІД СПЕЦИФІКИ ТОВАРУ, ЩО ЗАКУПОВУЄТЬСЯ</w:t>
      </w:r>
      <w:r w:rsidRPr="00B325D2">
        <w:rPr>
          <w:rStyle w:val="Arial3"/>
          <w:rFonts w:ascii="Times New Roman" w:hAnsi="Times New Roman" w:cs="Times New Roman"/>
          <w:bCs/>
          <w:sz w:val="24"/>
          <w:szCs w:val="24"/>
        </w:rPr>
        <w:t>:</w:t>
      </w:r>
    </w:p>
    <w:p w:rsidR="00A0126A" w:rsidRDefault="00A0126A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Запропонований учасником товар повинен відповідати таким вимогам:</w:t>
      </w:r>
    </w:p>
    <w:p w:rsidR="00A0126A" w:rsidRDefault="00A0126A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355FDD" w:rsidRDefault="00355FDD" w:rsidP="00A012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526945" w:rsidRDefault="00526945" w:rsidP="00526945">
      <w:pPr>
        <w:pageBreakBefore/>
        <w:spacing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Додаток № 2 до тендерної документації </w:t>
      </w:r>
    </w:p>
    <w:p w:rsidR="00526945" w:rsidRDefault="00526945" w:rsidP="00526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ІНФОРМАЦІЯ ПРО НЕОБХІДНІ КІЛЬКІСНІ, ТЕХНІЧНІ ТА ЯКІСНІ ХАРАКТЕРИСТИКИ ПРЕДМЕТА ЗАКУПІВЛІ</w:t>
      </w:r>
    </w:p>
    <w:p w:rsidR="00526945" w:rsidRDefault="00526945" w:rsidP="00526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26945" w:rsidRDefault="00526945" w:rsidP="005269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945" w:rsidRDefault="00526945" w:rsidP="005269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ДК 021:2015: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(CPV): </w:t>
      </w:r>
      <w:r>
        <w:rPr>
          <w:rFonts w:ascii="Times New Roman" w:hAnsi="Times New Roman" w:cs="Times New Roman"/>
          <w:sz w:val="24"/>
          <w:szCs w:val="24"/>
        </w:rPr>
        <w:t>33170000-2 Обладнання для анестезіології та реанімації</w:t>
      </w:r>
    </w:p>
    <w:p w:rsidR="00526945" w:rsidRDefault="00526945" w:rsidP="005269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Набори для анестезії, голки з ізоляцією, маски дихальні, з’єднувачі,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бужи</w:t>
      </w:r>
      <w:proofErr w:type="spellEnd"/>
      <w:r>
        <w:rPr>
          <w:rFonts w:ascii="Times New Roman" w:hAnsi="Times New Roman" w:cs="Times New Roman"/>
          <w:sz w:val="24"/>
          <w:szCs w:val="24"/>
        </w:rPr>
        <w:t>, датчики</w:t>
      </w:r>
    </w:p>
    <w:p w:rsidR="00526945" w:rsidRDefault="00526945" w:rsidP="00526945">
      <w:pPr>
        <w:rPr>
          <w:rFonts w:ascii="Calibri" w:eastAsia="Calibri" w:hAnsi="Calibri" w:cs="Calibri"/>
          <w:lang w:eastAsia="hi-IN" w:bidi="hi-IN"/>
        </w:rPr>
      </w:pPr>
    </w:p>
    <w:p w:rsidR="00526945" w:rsidRDefault="00526945" w:rsidP="00526945"/>
    <w:tbl>
      <w:tblPr>
        <w:tblW w:w="10365" w:type="dxa"/>
        <w:tblInd w:w="-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447"/>
        <w:gridCol w:w="2268"/>
        <w:gridCol w:w="3945"/>
        <w:gridCol w:w="993"/>
        <w:gridCol w:w="993"/>
      </w:tblGrid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Код НК 024: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товару*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Медико-технічні вимоги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Одиниці виміру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34845 - Набір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інтратекальної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анестезії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для комбінованої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спінально-епідуральної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анестезії 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спинальною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голкою 0,42x138,5 мм  G27x5 3/8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для комбінованої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спінально-епідуральної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анестезії. Склад набору: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спинальна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0,42x138,5 мм, G27x5 3/8, шприц втрати опору без латексу,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епідуральна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Перікан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Ø 1,3 х 88 мм (18G х 3½”) з отвором у вигині голки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Туохі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епідуральний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катетер  з трьома боковими отворами, Ø 0,85 х 0,45 х 1000 мм,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катетера, фільтр 0,2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фіксатор фільтра, пристрій фіксації спінальної голки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епідуральній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етикетка для катетера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35723 - Система для локалізації нервових закінчень 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Голка з ізоляцією для провідникової анестезії  А 21 G x 2” 0,80 x 50 мм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характеристика: Ізольована голка з неізольованим зрізом (тип А) кут заточки 30°, подовжувальною трубкою, та кабелем з роз’ємом для під’єднання до стимулятора нервів. Технічні характеристики: Використовувані матеріали ПВХ, ПП, ЕП, нержавіюча сталь, олово-бронзовий сплав, мідь. Голка  з ізоляцією для провідникової анестезії  21 G x 2” 0,80 x 50 мм має бути сумісною з приладом стимулятор нервів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Stimuplex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® HNS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35723 - Система для локалізації нервових закінчень 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Голка  з ізоляцією для провідникової анестезії А 22 G x 2” 0,70 x 50 мм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характеристика: Ізольована голка з неізольованим зрізом (тип А) кут заточки 30°, подовжувальною трубкою, та кабелем з роз’ємом для під’єднання до стимулятора нервів. Технічні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характеристики: Використовувані матеріали ПВХ, ПП, ЕП, нержавіюча сталь, олово-бронзовий сплав, мідь. Голка  з ізоляцією для провідникової анестезії  22 G x 2” 0,70 x 50 мм  має бути сумісною з приладом стимулятор нервів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Stimuplex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® HNS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35723 - Система для локалізації нервових закінчень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Голка з ізоляцією для провідникової анестезії  А 21 G x 4” 0,80 x 100 мм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характеристика: Ізольована голка з неізольованим зрізом (тип А) кут заточки 30°, подовжувальною трубкою, та кабелем з роз’ємом для під’єднання до стимулятора нервів. Технічні характеристики: Використовувані матеріали ПВХ, ПП, ЕП, нержавіюча сталь, олово-бронзовий сплав, мідь. Голка  з ізоляцією для провідникової анестезії   21 G x ” 0,80 x 100 мм має бути сумісною з приладом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тимулятор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нервів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Stimuplex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® HNS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34877 - Мішок для дихального контуру одноразового застосування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Резервний мішок 3 л ( 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латекса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Мішок резервний для апарату ШВЛ, об'ємом 3 л, горловина 22F, без латексу.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12557 - Маска для кисневої терапії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Наркозна маска з надувною манжетою, що регулюється клапаном, розмір 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Ароматизована анестезіологічна лицьова маска з надувною манжетою та клапаном що регулюється, з кільцем для кріплення та ароматом вишні, розмір 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15М.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12557 - Маска для кисневої терапії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Наркозна маска з надувною манжетою, що регулюється клапаном, розмір 1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Ароматизована анестезіологічна лицьова маска з надувною манжетою та клапаном що регулюється, з кільцем для кріплення та ароматом вишні, розмір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15М.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12557 - Маска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кисневої терапії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Наркозна маска з надувною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манжетою, що регулюється клапаном, розмір 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Ароматизована анестезіологічна лицьова маска з надувною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манжетою та клапаном що регулюється, з кільцем для кріплення та ароматом вишні, розмір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22F.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12557 - Маска для кисневої терапії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Наркозна маска з надувною манжетою, що регулюється клапаном, розмір 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Ароматизована анестезіологічна лицьова маска з надувною манжетою та клапаном що регулюється, з кільцем для кріплення та ароматом ванілі, розмір 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22F.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12557 - Маска для кисневої терапії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Наркозна маска з надувною манжетою, що регулюється клапаном, розмір 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Ароматизована анестезіологічна лицьова маска з надувною манжетою та клапаном що регулюється, з кільцем для кріплення та ароматом ванілі, розмір 4,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22F.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12557 - Маска для кисневої терапії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Наркозна маска з надувною манжетою, що регулюється клапаном, розмір 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Ароматизована анестезіологічна лицьова маска з надувною манжетою та клапаном що регулюється, з кільцем для кріплення та ароматом ванілі, розмір 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22F.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12557 - Маска для кисневої терапії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Наркозна маска з надувною манжетою, що регулюється клапаном, розмір 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Ароматизована анестезіологічна лицьова маска з надувною манжетою та клапаном що регулюється, з кільцем для кріплення та ароматом ванілі, розмір 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22F.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45036 - Маска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ларінгеальна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одноразового використання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Ларингеальна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маска, розмір 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Ларингеальна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маска повинна бути виготовлена з  медичного термопластичного  матеріалу. Манжета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роздувна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прозора, м’яка, анатомічно  відповідає структурам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гортаноглотки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 забезпечує  герметичний  контакт . Розмір 3, для пацієнтів з вагою 30-50кг.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45036 - Маска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ларінгеальна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одноразового використання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Ларингеальна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маска, розмір 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Ларингеальна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маска повинна бути виготовлена з  медичного термопластичного  матеріалу. Манжета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роздувна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прозора, м’ яка , анатомічно  відповідає структурам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гортаноглотки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 забезпечує  герметичний  контакт. Розмір 4, для пацієнтів з вагою 50-70кг.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45036 - Маска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ларінгеальна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одноразового використання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Ларингеальна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маска, розмір 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Ларингеальна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маска повинна бути виготовлена з  медичного термопластичного  матеріалу. Манжета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роздувна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прозора, м’ яка , анатомічно  відповідає структурам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гортаноглотки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 забезпечує  герметичний  контакт. Розмір 5, для пацієнтів з вагою понад 70кг.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42476 - Одноразовий катетер для дихального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контура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З'єднувач гнучкий прямий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Гнучкий прямий з`єднувач 22F-22M/15F. З'єднувач має мати мертвий простір до 45мм та довжину до 180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42601 -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трубки/маски дихального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нестерильний, багаторазовий, IVD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З`єднувач Y-подібний, без портів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З’єднувач  Y-подібний  22М/15F-22M, без порту, прозорий. Багаторазового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46819 - З'єднувач для дихального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багаторазового застосування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Багаторазовий  кутовий з`єднувач 22M/15F–15F, з портом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З’єднувач кутовий 22M/15F-15F з портом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прозорий. Багаторазового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42424 - Повітропровід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ротоглотковий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одноразового використання</w:t>
            </w: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реанімування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розмір 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для реанімації повинен містити - надглотковий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повітровод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ремінь фіксації, шлунковий зонд та пакетик гелю. Надглотковий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повітровод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повинен бути виготовлений з  медичного термопластичного матеріалу. Манжета прозора, м’ яка,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гелеподібна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роздувна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анатомічно відповідає структурам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гортаноглотки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забезпечує герметичний контакт. Повинен містити вбудований шлунковий канал, призначений для відсмоктування шлункового вмісту та постановки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зонду. Розмір 5 для дорослих з вагою понад 90 кг. Стерильний.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37469 - Стилет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повітровода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одноразового використання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Інтубаційний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стілет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Fr10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Інтубаційний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стилет, розмір 10Fr. Довжина  330-350 мм, зовнішній діаметр  3,3 мм. Не містить латекс. Стерильний.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41829 -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Інтродюсер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ендотрахеальної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трубки  одноразового використання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Провідник для заміни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ендотрахеальних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трубок  (Буж) 6Fr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Провідник для заміни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ендотрахеальних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трубок розмір 6Fr. Довжина  530 мм, зовнішній діаметр  2,0 мм. Не містить латекс. Стерильний.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>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41829 -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Інтродюсер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ендотрахеальної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трубки  одноразового використання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Провідник для заміни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ендотрахеальних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трубок  (Буж) 10Fr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Провідник для заміни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ендотрахеальних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трубок розмір 10Fr. Довжина 700 мм, зовнішній діаметр  3,3 мм. Не містить латекс. Стерильний. Одноразового використання. Індивідуальна упаковка.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26945" w:rsidTr="0052694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 w:rsidP="0052694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46620-Сенсор церебрального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оксиметру</w:t>
            </w:r>
            <w:proofErr w:type="spellEnd"/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датчик насиченості киснем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крові,одноразовий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для дорослих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945" w:rsidRDefault="005269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Повинен бути призначений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церебрально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-соматичного моніторингу регіональної насиченості киснем (rSO2) для дорослих. Має бути сумісним з приладом церебральної/соматичної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оксіметрії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INVOS. Повинен використовуватися для доросли пацієнтів вагою більше 40 кг. Має мати можливість розміщення в наступних зонах, ділянках тіла: права, ліва сторона чола; над хребтом; на грудній клітці; на передпліччі; верхня частина руки або ноги; бічна або задня поверхня гомілки. Одноразовий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526945" w:rsidRDefault="00526945" w:rsidP="0052694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Якщо учасник пропонує інший товар (еквівалент) ніж передбачений цією тендерною документацією, даний товар за своїми властивостями повинен повністю відповідати товару, що є предметом закупівлі за всіма показниками.</w:t>
      </w:r>
    </w:p>
    <w:p w:rsidR="00526945" w:rsidRDefault="00526945" w:rsidP="005269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26945" w:rsidRDefault="00526945" w:rsidP="005269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526945" w:rsidRDefault="00526945" w:rsidP="0052694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526945" w:rsidRDefault="00526945" w:rsidP="005269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Запропонований учасником товар повинен відповідати таким вимогам:</w:t>
      </w:r>
    </w:p>
    <w:p w:rsidR="00526945" w:rsidRDefault="00526945" w:rsidP="005269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tbl>
      <w:tblPr>
        <w:tblW w:w="1105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347"/>
      </w:tblGrid>
      <w:tr w:rsidR="00526945" w:rsidTr="00526945">
        <w:trPr>
          <w:trHeight w:val="128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Загальні вимоги*:</w:t>
            </w:r>
          </w:p>
        </w:tc>
      </w:tr>
      <w:tr w:rsidR="00526945" w:rsidRPr="00526945" w:rsidTr="00526945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Медичні вироби повинні бути зареєстровані в Україні та/або дозволені для введення в обіг та/або експлуатацію (застосування) відповідно до законодавства. Ця вимога засвідчується: </w:t>
            </w:r>
            <w:bookmarkStart w:id="0" w:name="_GoBack"/>
            <w:bookmarkEnd w:id="0"/>
          </w:p>
          <w:p w:rsidR="00526945" w:rsidRDefault="00526945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а) завіреною копією декларації або копії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регламенту, або </w:t>
            </w:r>
          </w:p>
          <w:p w:rsidR="00526945" w:rsidRDefault="00526945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б) завіреною копією Свідоцтва про державну реєстрацію медичного виробу, що свідчить про наявності медичного виробу в Державному реєстрі медичної техніки та виробів медичного призначення. </w:t>
            </w:r>
          </w:p>
          <w:p w:rsidR="00526945" w:rsidRDefault="0052694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 урахуванням вимог Постанов КМУ від 02.10.2013 р. № 753*, №754**, №755***, якщо Учасником торгів пропонується медичний виріб строк дії Свідоцтва про державну реєстрацію якого закінчується до 1 липня 2016 року, у такому разі запропонований товар повинен бути ввезений на митну територію України (вироблений на території України) до закінчення терміну дії Свідоцтва про державну реєстрацію такого виробу. Для підтвердження зазначеного Учасником торгів у складі пропозиції конкурсних торгів необхідно подати завірену копію митної декларації або документу підтверджуючого дату виготовлення запропонованого товару.</w:t>
            </w:r>
          </w:p>
        </w:tc>
      </w:tr>
      <w:tr w:rsidR="00526945" w:rsidRPr="00526945" w:rsidTr="00526945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Продукція та її виробництво повинні відповідати міжнародному стандарту якості по системі ISO, що має бути підтверджено відповідним документом. </w:t>
            </w:r>
          </w:p>
        </w:tc>
      </w:tr>
      <w:tr w:rsidR="00526945" w:rsidRPr="00526945" w:rsidTr="00526945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945" w:rsidRDefault="005269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метою запобігання закупівлі фальсифікатів та на підтвердження своєчасного постачання товару у кількості, якості та зі строками придатності, Учасник повинен надати оригінал гарантійного листа, яким підтверджується можливість поставки всіх позицій предмета закупівлі, у кількості, якості (вказати торгову марку або виробника) та в терміни, визначеними цією тендерною документацію та тендерною пропозицією учасника торгів. Гарантійний лист щодо підтвердження повинен містити назву замовника, номер оголошення та кількість товару.</w:t>
            </w:r>
          </w:p>
          <w:p w:rsidR="00526945" w:rsidRDefault="00526945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26945" w:rsidRPr="00526945" w:rsidTr="00526945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tabs>
                <w:tab w:val="left" w:pos="426"/>
                <w:tab w:val="left" w:pos="720"/>
              </w:tabs>
              <w:spacing w:line="25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Товар, запропонований Учасником, повинен бути новим, таким, що не був у використанні, виготовлений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раніше 2023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., має бути підтверджено оригіналом гарантійного листа учасника.</w:t>
            </w:r>
          </w:p>
        </w:tc>
      </w:tr>
      <w:tr w:rsidR="00526945" w:rsidRPr="00526945" w:rsidTr="00526945">
        <w:trPr>
          <w:trHeight w:val="1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945" w:rsidRDefault="00526945">
            <w:pPr>
              <w:spacing w:line="25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Для підтвердження МТВ надати технічну документацію (специфікацію) (або витяг з неї) на вироби ( брошуру, або каталог, або посилання на сайт виробника, або інший документ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електронний). </w:t>
            </w:r>
          </w:p>
        </w:tc>
      </w:tr>
    </w:tbl>
    <w:p w:rsidR="00526945" w:rsidRDefault="00526945" w:rsidP="0052694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 разі відсутності документу учасником подається пояснення (лист, довідка тощо) про відсутність або надання іншого документу*</w:t>
      </w:r>
    </w:p>
    <w:p w:rsidR="00526945" w:rsidRDefault="00526945" w:rsidP="005269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26945" w:rsidRDefault="00526945" w:rsidP="00526945">
      <w:pPr>
        <w:ind w:firstLine="426"/>
        <w:outlineLvl w:val="0"/>
        <w:rPr>
          <w:rFonts w:ascii="Calibri" w:eastAsia="Calibri" w:hAnsi="Calibri" w:cs="Times New Roman"/>
          <w:b/>
          <w:smallCaps/>
        </w:rPr>
      </w:pPr>
    </w:p>
    <w:p w:rsidR="00526945" w:rsidRDefault="00526945" w:rsidP="00526945">
      <w:pPr>
        <w:spacing w:line="0" w:lineRule="atLeast"/>
        <w:rPr>
          <w:rFonts w:cs="Calibri"/>
          <w:color w:val="FF0000"/>
          <w:sz w:val="24"/>
          <w:szCs w:val="24"/>
          <w:lang w:eastAsia="hi-IN" w:bidi="hi-IN"/>
        </w:rPr>
      </w:pPr>
    </w:p>
    <w:p w:rsidR="00355FDD" w:rsidRDefault="00355FDD" w:rsidP="00526945">
      <w:pPr>
        <w:pageBreakBefore/>
        <w:spacing w:line="0" w:lineRule="atLeast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sectPr w:rsidR="00355FDD" w:rsidSect="00863C02">
      <w:footerReference w:type="default" r:id="rId7"/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BC" w:rsidRDefault="003745BC" w:rsidP="00B2669C">
      <w:pPr>
        <w:spacing w:after="0" w:line="240" w:lineRule="auto"/>
      </w:pPr>
      <w:r>
        <w:separator/>
      </w:r>
    </w:p>
  </w:endnote>
  <w:endnote w:type="continuationSeparator" w:id="0">
    <w:p w:rsidR="003745BC" w:rsidRDefault="003745BC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9803578"/>
      <w:docPartObj>
        <w:docPartGallery w:val="Page Numbers (Bottom of Page)"/>
        <w:docPartUnique/>
      </w:docPartObj>
    </w:sdtPr>
    <w:sdtEndPr/>
    <w:sdtContent>
      <w:p w:rsidR="00B5408F" w:rsidRDefault="00B5408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945" w:rsidRPr="00526945">
          <w:rPr>
            <w:noProof/>
            <w:lang w:val="ru-RU"/>
          </w:rPr>
          <w:t>10</w:t>
        </w:r>
        <w:r>
          <w:fldChar w:fldCharType="end"/>
        </w:r>
      </w:p>
    </w:sdtContent>
  </w:sdt>
  <w:p w:rsidR="00B5408F" w:rsidRDefault="00B540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BC" w:rsidRDefault="003745BC" w:rsidP="00B2669C">
      <w:pPr>
        <w:spacing w:after="0" w:line="240" w:lineRule="auto"/>
      </w:pPr>
      <w:r>
        <w:separator/>
      </w:r>
    </w:p>
  </w:footnote>
  <w:footnote w:type="continuationSeparator" w:id="0">
    <w:p w:rsidR="003745BC" w:rsidRDefault="003745BC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2DDA"/>
    <w:multiLevelType w:val="hybridMultilevel"/>
    <w:tmpl w:val="85381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611CB5"/>
    <w:multiLevelType w:val="hybridMultilevel"/>
    <w:tmpl w:val="FA78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972C4"/>
    <w:multiLevelType w:val="multilevel"/>
    <w:tmpl w:val="21F2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83B0D"/>
    <w:multiLevelType w:val="multilevel"/>
    <w:tmpl w:val="0A6A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57277"/>
    <w:rsid w:val="000B74D1"/>
    <w:rsid w:val="000E2148"/>
    <w:rsid w:val="00190330"/>
    <w:rsid w:val="0019709B"/>
    <w:rsid w:val="001E0D7C"/>
    <w:rsid w:val="0020465D"/>
    <w:rsid w:val="00213167"/>
    <w:rsid w:val="00285815"/>
    <w:rsid w:val="002A7016"/>
    <w:rsid w:val="00331C4F"/>
    <w:rsid w:val="00355FDD"/>
    <w:rsid w:val="003745BC"/>
    <w:rsid w:val="00387CF7"/>
    <w:rsid w:val="003E1E85"/>
    <w:rsid w:val="00407862"/>
    <w:rsid w:val="00440BD3"/>
    <w:rsid w:val="00454B35"/>
    <w:rsid w:val="004A4D45"/>
    <w:rsid w:val="004F1519"/>
    <w:rsid w:val="004F2E8F"/>
    <w:rsid w:val="0050135A"/>
    <w:rsid w:val="00526945"/>
    <w:rsid w:val="00753707"/>
    <w:rsid w:val="00764342"/>
    <w:rsid w:val="007776FF"/>
    <w:rsid w:val="00816677"/>
    <w:rsid w:val="00863C02"/>
    <w:rsid w:val="008D7645"/>
    <w:rsid w:val="00A0126A"/>
    <w:rsid w:val="00A4391B"/>
    <w:rsid w:val="00A47D6D"/>
    <w:rsid w:val="00A96177"/>
    <w:rsid w:val="00B2669C"/>
    <w:rsid w:val="00B325D2"/>
    <w:rsid w:val="00B34935"/>
    <w:rsid w:val="00B5408F"/>
    <w:rsid w:val="00BD3679"/>
    <w:rsid w:val="00CE7B87"/>
    <w:rsid w:val="00D1480A"/>
    <w:rsid w:val="00E46C90"/>
    <w:rsid w:val="00E953F9"/>
    <w:rsid w:val="00EA6EFF"/>
    <w:rsid w:val="00F536B5"/>
    <w:rsid w:val="00F62157"/>
    <w:rsid w:val="00F7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A11B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01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  <w:style w:type="paragraph" w:customStyle="1" w:styleId="contract">
    <w:name w:val="contract"/>
    <w:basedOn w:val="a"/>
    <w:qFormat/>
    <w:rsid w:val="00440BD3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012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fwn">
    <w:name w:val="fwn"/>
    <w:basedOn w:val="a0"/>
    <w:rsid w:val="00B3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3</cp:revision>
  <dcterms:created xsi:type="dcterms:W3CDTF">2024-07-02T13:01:00Z</dcterms:created>
  <dcterms:modified xsi:type="dcterms:W3CDTF">2024-07-02T13:04:00Z</dcterms:modified>
</cp:coreProperties>
</file>