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9C" w:rsidRPr="008A15DF" w:rsidRDefault="00B2669C" w:rsidP="006C00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</w:pPr>
      <w:bookmarkStart w:id="0" w:name="_GoBack"/>
      <w:bookmarkEnd w:id="0"/>
      <w:proofErr w:type="spellStart"/>
      <w:r w:rsidRPr="008A15D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>Орієнтовний</w:t>
      </w:r>
      <w:proofErr w:type="spellEnd"/>
      <w:r w:rsidRPr="008A15D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 xml:space="preserve"> початок </w:t>
      </w:r>
      <w:proofErr w:type="spellStart"/>
      <w:r w:rsidRPr="008A15D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>проведення</w:t>
      </w:r>
      <w:proofErr w:type="spellEnd"/>
      <w:r w:rsidRPr="008A15D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>процедури</w:t>
      </w:r>
      <w:proofErr w:type="spellEnd"/>
      <w:r w:rsidRPr="008A15D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>закупівлі</w:t>
      </w:r>
      <w:proofErr w:type="spellEnd"/>
      <w:r w:rsidRPr="008A15D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Pr="008A15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лютий</w:t>
      </w:r>
      <w:proofErr w:type="spellEnd"/>
      <w:r w:rsidRPr="008A15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2023</w:t>
      </w:r>
    </w:p>
    <w:p w:rsidR="000E2148" w:rsidRPr="008A15DF" w:rsidRDefault="00BD3679" w:rsidP="0021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A1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ОБҐРУНТУВАННЯ</w:t>
      </w:r>
    </w:p>
    <w:p w:rsidR="00BD3679" w:rsidRPr="008A15DF" w:rsidRDefault="000E2148" w:rsidP="0021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A1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МЕДИКО-ТЕХНІЧНИХ</w:t>
      </w:r>
      <w:r w:rsidR="00213167" w:rsidRPr="008A1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r w:rsidR="00BD3679" w:rsidRPr="008A1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ЯКІСНИХ </w:t>
      </w:r>
      <w:r w:rsidRPr="008A1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ТА КІЛЬКІСНИХ </w:t>
      </w:r>
      <w:r w:rsidR="00BD3679" w:rsidRPr="008A1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ХАРАКТЕРИСТИК ПРЕДМЕТА ЗАКУПІВЛІ, РОЗМІРУ БЮДЖЕТНОГО ПРИЗНАЧЕННЯ, ОЧІКУВАНОЇ ВАРТОСТІ ПРЕДМЕТА ЗАКУПІВЛІ</w:t>
      </w:r>
    </w:p>
    <w:p w:rsidR="00764342" w:rsidRPr="008A15DF" w:rsidRDefault="00764342" w:rsidP="00764342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5D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СЛОВНИКОМ: </w:t>
      </w:r>
    </w:p>
    <w:p w:rsidR="00764342" w:rsidRPr="008A15DF" w:rsidRDefault="00764342" w:rsidP="00764342">
      <w:pPr>
        <w:pStyle w:val="HTML"/>
        <w:ind w:left="78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 w:rsidRPr="008A15DF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Фармацевтична продукція </w:t>
      </w:r>
    </w:p>
    <w:p w:rsidR="00764342" w:rsidRPr="008A15DF" w:rsidRDefault="00764342" w:rsidP="00764342">
      <w:pPr>
        <w:pStyle w:val="HTML"/>
        <w:ind w:left="78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8A15DF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код за ДК 021:2015:   33600000-6 Фармацевтична продукція.</w:t>
      </w:r>
    </w:p>
    <w:p w:rsidR="00764342" w:rsidRPr="008A15DF" w:rsidRDefault="00764342" w:rsidP="00764342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4342" w:rsidRPr="008A15DF" w:rsidRDefault="00764342" w:rsidP="00764342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Державна установа «Інститут травматології та ортопедії НАМН України» з метою запровадження ефективної системи аналізу та контролю за використанням коштів державного бюджету, виділених на впровадження та реалізацію нового механізму фінансового забезпечення надання </w:t>
      </w:r>
      <w:r w:rsidRPr="008A15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третинної (високоспеціалізованої) медичної допомоги</w:t>
      </w:r>
      <w:r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беручи за основу потребу згідно протоколів лікування та медикаментозного забезпечення пацієнтів, а також враховуючи залишки на аптечному складі медикаментів та лікарських засобів, надходжень у вигляді благодійної допомоги та потреб відділень запланувала у 2023 році придбати фармацевтичну продукцію для забезпечення в основному </w:t>
      </w:r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«специфічної» категорії пацієнтів Установи, </w:t>
      </w:r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це рани утворені в нестерильних умовах (кульові, осколкові, вторинні (камінь, скло, цегла), нетабельні (шарикові, стрілоподібні), мінно-вибухові, які потребують довготривалого лікування не тільки ортопедо-травматичних та/або травматичних патологій, а й супутніх ускладнень.</w:t>
      </w:r>
    </w:p>
    <w:p w:rsidR="00764342" w:rsidRPr="008A15DF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виконання зазначених завдань/функцій Замовник повинен, зокрема, забезпечити себе необхідними лікарськими засобами з метою надання якісної медичної допомоги, а також медичних та знеболювальних засобів, що можуть знадобитися у процесі виконання таких функцій.</w:t>
      </w:r>
    </w:p>
    <w:p w:rsidR="00764342" w:rsidRPr="008A15DF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Обґрунтування обсягів закупівлі. Обсяги визначено відповідно до очікуваної потреби, обрахованої Замовником на основі фактичного використання медикаментів у попередньому році, залишками на аптечному складі, спонсорської допомоги та обсягу фінансування.</w:t>
      </w:r>
    </w:p>
    <w:p w:rsidR="00764342" w:rsidRPr="008A15DF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Обґрунтування</w:t>
      </w:r>
      <w:proofErr w:type="spellEnd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технічних</w:t>
      </w:r>
      <w:proofErr w:type="spellEnd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якісних</w:t>
      </w:r>
      <w:proofErr w:type="spellEnd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характеристик </w:t>
      </w:r>
      <w:proofErr w:type="spellStart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закупівлі</w:t>
      </w:r>
      <w:proofErr w:type="spellEnd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Якісні</w:t>
      </w:r>
      <w:proofErr w:type="spellEnd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характеристики </w:t>
      </w:r>
      <w:proofErr w:type="spellStart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визначено</w:t>
      </w:r>
      <w:proofErr w:type="spellEnd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відповідно</w:t>
      </w:r>
      <w:proofErr w:type="spellEnd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особливостей</w:t>
      </w:r>
      <w:proofErr w:type="spellEnd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надання</w:t>
      </w:r>
      <w:proofErr w:type="spellEnd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медичної</w:t>
      </w:r>
      <w:proofErr w:type="spellEnd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допомоги</w:t>
      </w:r>
      <w:proofErr w:type="spellEnd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та з </w:t>
      </w:r>
      <w:proofErr w:type="spellStart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урахуванням</w:t>
      </w:r>
      <w:proofErr w:type="spellEnd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загальноприйнятих</w:t>
      </w:r>
      <w:proofErr w:type="spellEnd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норм і </w:t>
      </w:r>
      <w:proofErr w:type="spellStart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стандартів</w:t>
      </w:r>
      <w:proofErr w:type="spellEnd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зазначеного</w:t>
      </w:r>
      <w:proofErr w:type="spellEnd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предмета </w:t>
      </w:r>
      <w:proofErr w:type="spellStart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закупівлі</w:t>
      </w:r>
      <w:proofErr w:type="spellEnd"/>
      <w:r w:rsidRPr="008A1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64342" w:rsidRPr="008A15DF" w:rsidRDefault="00764342" w:rsidP="00764342">
      <w:pPr>
        <w:pStyle w:val="a6"/>
        <w:jc w:val="both"/>
        <w:rPr>
          <w:b/>
          <w:color w:val="000000" w:themeColor="text1"/>
          <w:lang w:val="ru-RU"/>
        </w:rPr>
      </w:pPr>
      <w:r w:rsidRPr="008A15DF">
        <w:rPr>
          <w:b/>
          <w:color w:val="000000" w:themeColor="text1"/>
          <w:lang w:val="ru-RU"/>
        </w:rPr>
        <w:t xml:space="preserve">ОБҐРУНТУВАННЯ ОЧІКУВАНОЇ ЦІНИ ЗАКУПІВЛІ/БЮДЖЕТНОГО ПРИЗНАЧЕННЯ. </w:t>
      </w:r>
    </w:p>
    <w:p w:rsidR="00764342" w:rsidRPr="008A15DF" w:rsidRDefault="00764342" w:rsidP="00764342">
      <w:pPr>
        <w:pStyle w:val="a6"/>
        <w:jc w:val="both"/>
        <w:rPr>
          <w:color w:val="000000" w:themeColor="text1"/>
          <w:lang w:val="uk-UA"/>
        </w:rPr>
      </w:pPr>
      <w:proofErr w:type="spellStart"/>
      <w:r w:rsidRPr="008A15DF">
        <w:rPr>
          <w:b/>
          <w:bCs/>
          <w:color w:val="000000" w:themeColor="text1"/>
          <w:lang w:val="ru-RU"/>
        </w:rPr>
        <w:t>Очікувана</w:t>
      </w:r>
      <w:proofErr w:type="spellEnd"/>
      <w:r w:rsidRPr="008A15DF">
        <w:rPr>
          <w:b/>
          <w:bCs/>
          <w:color w:val="000000" w:themeColor="text1"/>
          <w:lang w:val="ru-RU"/>
        </w:rPr>
        <w:t xml:space="preserve"> </w:t>
      </w:r>
      <w:proofErr w:type="spellStart"/>
      <w:r w:rsidRPr="008A15DF">
        <w:rPr>
          <w:b/>
          <w:bCs/>
          <w:color w:val="000000" w:themeColor="text1"/>
          <w:lang w:val="ru-RU"/>
        </w:rPr>
        <w:t>вартість</w:t>
      </w:r>
      <w:proofErr w:type="spellEnd"/>
      <w:r w:rsidRPr="008A15DF">
        <w:rPr>
          <w:b/>
          <w:bCs/>
          <w:color w:val="000000" w:themeColor="text1"/>
          <w:lang w:val="ru-RU"/>
        </w:rPr>
        <w:t xml:space="preserve"> </w:t>
      </w:r>
      <w:proofErr w:type="spellStart"/>
      <w:r w:rsidRPr="008A15DF">
        <w:rPr>
          <w:b/>
          <w:bCs/>
          <w:color w:val="000000" w:themeColor="text1"/>
          <w:lang w:val="ru-RU"/>
        </w:rPr>
        <w:t>визначається</w:t>
      </w:r>
      <w:proofErr w:type="spellEnd"/>
      <w:r w:rsidRPr="008A15DF">
        <w:rPr>
          <w:b/>
          <w:bCs/>
          <w:color w:val="000000" w:themeColor="text1"/>
          <w:lang w:val="ru-RU"/>
        </w:rPr>
        <w:t xml:space="preserve"> на </w:t>
      </w:r>
      <w:proofErr w:type="spellStart"/>
      <w:r w:rsidRPr="008A15DF">
        <w:rPr>
          <w:b/>
          <w:bCs/>
          <w:color w:val="000000" w:themeColor="text1"/>
          <w:lang w:val="ru-RU"/>
        </w:rPr>
        <w:t>основі</w:t>
      </w:r>
      <w:proofErr w:type="spellEnd"/>
      <w:r w:rsidRPr="008A15DF">
        <w:rPr>
          <w:b/>
          <w:bCs/>
          <w:color w:val="000000" w:themeColor="text1"/>
          <w:lang w:val="ru-RU"/>
        </w:rPr>
        <w:t xml:space="preserve"> чинного </w:t>
      </w:r>
      <w:proofErr w:type="spellStart"/>
      <w:r w:rsidRPr="008A15DF">
        <w:rPr>
          <w:b/>
          <w:bCs/>
          <w:color w:val="000000" w:themeColor="text1"/>
          <w:lang w:val="ru-RU"/>
        </w:rPr>
        <w:t>законодавства</w:t>
      </w:r>
      <w:proofErr w:type="spellEnd"/>
      <w:r w:rsidRPr="008A15DF">
        <w:rPr>
          <w:b/>
          <w:bCs/>
          <w:color w:val="000000" w:themeColor="text1"/>
          <w:lang w:val="ru-RU"/>
        </w:rPr>
        <w:t xml:space="preserve"> </w:t>
      </w:r>
      <w:proofErr w:type="spellStart"/>
      <w:r w:rsidRPr="008A15DF">
        <w:rPr>
          <w:b/>
          <w:bCs/>
          <w:color w:val="000000" w:themeColor="text1"/>
          <w:lang w:val="ru-RU"/>
        </w:rPr>
        <w:t>України</w:t>
      </w:r>
      <w:proofErr w:type="spellEnd"/>
      <w:r w:rsidRPr="008A15DF">
        <w:rPr>
          <w:b/>
          <w:bCs/>
          <w:color w:val="000000" w:themeColor="text1"/>
          <w:lang w:val="ru-RU"/>
        </w:rPr>
        <w:t xml:space="preserve">: </w:t>
      </w:r>
      <w:r w:rsidRPr="008A15DF">
        <w:rPr>
          <w:color w:val="000000" w:themeColor="text1"/>
          <w:lang w:val="uk-UA"/>
        </w:rPr>
        <w:t>Ціни на запропоновані лікарські засоби не мають перевищувати рівень зареєстрованих оптово-відпускних цін з урахуванням граничних постачальницько-збутових та торговельних (роздрібних) надбавок, встановлених постановою Кабінету Міністрів України від 17 жовтня 2008 р. № 955 «Про заходи щодо стабілізації цін на лікарські засоби» зі змінами та з урахуванням вимог постанови Кабінету Міністрів України від 03 квітня 2019 року № 426 «Про референтне ціноутворення на деякі лікарські засоби, що закуповуються за бюджетні кошти». При обрахунку очікуваної вартості було застосовано формулу (ціна МОЗ (або референтна ціна) + 10% товарно-</w:t>
      </w:r>
      <w:proofErr w:type="spellStart"/>
      <w:r w:rsidRPr="008A15DF">
        <w:rPr>
          <w:color w:val="000000" w:themeColor="text1"/>
          <w:lang w:val="uk-UA"/>
        </w:rPr>
        <w:t>збутницька</w:t>
      </w:r>
      <w:proofErr w:type="spellEnd"/>
      <w:r w:rsidRPr="008A15DF">
        <w:rPr>
          <w:color w:val="000000" w:themeColor="text1"/>
          <w:lang w:val="uk-UA"/>
        </w:rPr>
        <w:t xml:space="preserve"> надбавка +7% ПДВ). Перелік лікарських засобів та відповідно </w:t>
      </w:r>
      <w:r w:rsidRPr="008A15DF">
        <w:rPr>
          <w:color w:val="000000" w:themeColor="text1"/>
          <w:lang w:val="uk-UA"/>
        </w:rPr>
        <w:lastRenderedPageBreak/>
        <w:t>оголошення про закупівлю подаються відповідно до терміновості забезпечення установи медикаментами</w:t>
      </w:r>
    </w:p>
    <w:p w:rsidR="00213167" w:rsidRPr="008A15DF" w:rsidRDefault="00213167" w:rsidP="00A439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D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ОСНОВНІ ЗАВДАННЯ НАДАННЯ ВИСОКОСПЕЦІАЛІЗОВАНОЇ МЕДИЧНОЇ ДОПОМОГИ</w:t>
      </w:r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3167" w:rsidRPr="008A15DF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t> Наші фахівці займаються діагностикою та глибоким вивченням проблем травматології та ортопедії. В інституті працюють спеціалісти високого рівня, які мають міжнародні сертифікати та гранти. Багато з них проходили стажування в клініках Європи, Ізраїлю, США.</w:t>
      </w:r>
    </w:p>
    <w:p w:rsidR="00213167" w:rsidRPr="008A15DF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t> Ми використовуємо високоякісне сучасне обладнання, сучасні методи лікування.</w:t>
      </w:r>
    </w:p>
    <w:p w:rsidR="00213167" w:rsidRPr="008A15DF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t> Наші лікарі розвиваються, пишуть наукові роботи, захищають кандидатські та докторські дисертації за певними видами діагностики та лікування.</w:t>
      </w:r>
    </w:p>
    <w:p w:rsidR="00213167" w:rsidRPr="008A15DF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t> Ми зустрічаємо пацієнта з проблемою, діагностуємо, консультуємо, беремо аналізи, оперуємо та відправляємо на реабілітацію. Прощаємося з пацієнтом вже після проведення повного циклу послуг до наступного планового контролю.</w:t>
      </w:r>
    </w:p>
    <w:p w:rsidR="00213167" w:rsidRPr="008A15DF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t> Фахівці інституту лікують найскладніші випадки, за які не беруться в інших лікувальних закладах.</w:t>
      </w:r>
    </w:p>
    <w:p w:rsidR="00213167" w:rsidRPr="008A15DF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t> Інститут активно лікує пацієнтів з важкими вогнепальними травмами.</w:t>
      </w:r>
    </w:p>
    <w:p w:rsidR="00213167" w:rsidRPr="008A15DF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Фахівці інституту є активними учасниками міжнародних товариств ортопедів-травматологів (SICOT//FESCH та </w:t>
      </w:r>
      <w:proofErr w:type="spellStart"/>
      <w:r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t>ін</w:t>
      </w:r>
      <w:proofErr w:type="spellEnd"/>
      <w:r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13167" w:rsidRPr="008A15DF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t> До нас звертаються іноземні громадяни з країн ближнього і дальнього зарубіжжя.</w:t>
      </w:r>
    </w:p>
    <w:p w:rsidR="0019709B" w:rsidRPr="008A15DF" w:rsidRDefault="0019709B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4342" w:rsidRPr="008A15DF" w:rsidRDefault="00764342" w:rsidP="007776FF">
      <w:pPr>
        <w:spacing w:after="0" w:line="240" w:lineRule="auto"/>
        <w:ind w:firstLine="709"/>
        <w:jc w:val="both"/>
        <w:rPr>
          <w:rStyle w:val="Arial3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776FF" w:rsidRPr="008A15DF" w:rsidRDefault="00764342" w:rsidP="00777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DF">
        <w:rPr>
          <w:rStyle w:val="Arial3"/>
          <w:rFonts w:ascii="Times New Roman" w:hAnsi="Times New Roman" w:cs="Times New Roman"/>
          <w:bCs/>
          <w:color w:val="000000" w:themeColor="text1"/>
          <w:sz w:val="24"/>
          <w:szCs w:val="24"/>
        </w:rPr>
        <w:t>ЗАПРОПОНОВАНИЙ УЧАСНИКОМ ТОВАР ПОВИНЕН ВІДПОВІДАТИ ТАКИМ ВИМОГАМ (МОЖУТЬ ВІДРІЗНЯТИСЬ, В ЗАЛЕЖНОСТІ ВІД СПЕЦИФІКИ ТОВАРУ, ЩО ЗАКУПОВУЄТЬСЯ:</w:t>
      </w:r>
    </w:p>
    <w:p w:rsidR="007776FF" w:rsidRPr="008A15DF" w:rsidRDefault="007776FF" w:rsidP="007776FF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A15D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Лікарські засоби повинні бути належним чином зареєстровані (надати копії реєстраційних посвідчень).</w:t>
      </w:r>
    </w:p>
    <w:p w:rsidR="007776FF" w:rsidRPr="008A15DF" w:rsidRDefault="007776FF" w:rsidP="007776FF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A1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З</w:t>
      </w:r>
      <w:r w:rsidRPr="008A15D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метою запобігання закупівлі фальсифікатів та підтвердження своєчасного постачання товару у кількості, якості та зі строками придатності, учасник надає о</w:t>
      </w:r>
      <w:r w:rsidRPr="008A1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ригінал </w:t>
      </w:r>
      <w:r w:rsidRPr="008A15D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uk-UA"/>
        </w:rPr>
        <w:t>гарантійного листа</w:t>
      </w:r>
      <w:r w:rsidRPr="008A1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виробника (представництва, філії виробника – якщо їх відповідні повноваження поширюються на територію України) або </w:t>
      </w:r>
      <w:r w:rsidRPr="008A15D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представника</w:t>
      </w:r>
      <w:r w:rsidRPr="008A1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, дилера, дистриб’ютора уповноваженого на це виробником, яким підтверджується можливість поставки </w:t>
      </w:r>
      <w:r w:rsidRPr="008A15D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товару</w:t>
      </w:r>
      <w:r w:rsidRPr="008A1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, який є предметом закупівлі цих торгів та пропонується учасником, у кількості, зі строками придатності та в терміни, визначені тендерною документацією.</w:t>
      </w:r>
      <w:r w:rsidRPr="008A15D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Гарантійний лист повинен включати номер оголошення про проведення процедури закупівлі, оприлюдненого на веб-порталі Уповноваженого органу, а також назву предмету закупівлі згідно оголошення та назву Замовника.</w:t>
      </w:r>
    </w:p>
    <w:p w:rsidR="007776FF" w:rsidRPr="008A15DF" w:rsidRDefault="007776FF" w:rsidP="007776FF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A15D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Учасник повинен мати ліцензію на оптову або роздрібну торгівлю лікарськими засобами (або на виробництво лікарських засобів – якщо учасником є виробник лікарських засобів).</w:t>
      </w:r>
    </w:p>
    <w:p w:rsidR="007776FF" w:rsidRPr="008A15DF" w:rsidRDefault="007776FF" w:rsidP="007776FF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A15D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Всі лікарські засоби повинні мати інструкцію з використання препарату, викладену українською мовою та затверджену належним чином.</w:t>
      </w:r>
    </w:p>
    <w:p w:rsidR="007776FF" w:rsidRPr="008A15DF" w:rsidRDefault="007776FF" w:rsidP="007776FF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t>Термін придатності лікарських засобів на момент здійснення поставки Замовнику</w:t>
      </w:r>
    </w:p>
    <w:p w:rsidR="007776FF" w:rsidRPr="008A15DF" w:rsidRDefault="007776FF" w:rsidP="00777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t>повинен становити не менше 75%</w:t>
      </w:r>
      <w:r w:rsidR="00285815"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-80% </w:t>
      </w:r>
      <w:r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загального терміну придатності, але не менше 12 </w:t>
      </w:r>
      <w:proofErr w:type="spellStart"/>
      <w:r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t>місяців.У</w:t>
      </w:r>
      <w:proofErr w:type="spellEnd"/>
      <w:r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складі тендерних пропозицій Учасникам необхідно надати копії сертифікатів якості на запропоновані лікарські засоби із залишковим терміном придатності не менше 12 місяців на </w:t>
      </w:r>
      <w:r w:rsidRPr="008A15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дату подання тендерної пропозиції. Для імпортованих лікарських засобів додатково у складі пропозиції надати висновок про якість ввезеного лікарського засобу.</w:t>
      </w:r>
    </w:p>
    <w:p w:rsidR="007776FF" w:rsidRPr="008A15DF" w:rsidRDefault="007776FF" w:rsidP="002A7016">
      <w:pPr>
        <w:spacing w:after="0" w:line="240" w:lineRule="auto"/>
        <w:ind w:right="28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09B" w:rsidRPr="008A15DF" w:rsidRDefault="0019709B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9709B" w:rsidRPr="008A15DF" w:rsidRDefault="0019709B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9709B" w:rsidRPr="008A15DF" w:rsidRDefault="0019709B" w:rsidP="004A4D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64342" w:rsidRPr="008A15DF" w:rsidRDefault="00764342" w:rsidP="0076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(CPV): </w:t>
      </w:r>
      <w:r w:rsidRPr="008A1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33600000-6 — Фармацевтична продукція</w:t>
      </w:r>
    </w:p>
    <w:p w:rsidR="00764342" w:rsidRPr="008A15DF" w:rsidRDefault="00764342" w:rsidP="0076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(</w:t>
      </w:r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A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ntral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Propofol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Betamethasone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Vitamin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B1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combination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vitamin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B6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or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vitamin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B12,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Dextrose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Dexamethasone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Nefopam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Betamethasone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Lesfal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Omeprazole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Omeprazole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8A1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Dexketoprofen</w:t>
      </w:r>
      <w:proofErr w:type="spellEnd"/>
      <w:r w:rsid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Enoxaparin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Enoxaparin</w:t>
      </w:r>
      <w:proofErr w:type="spellEnd"/>
      <w:proofErr w:type="gram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Comb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drug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Nalbuphine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Tolperisone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Dexamethasone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Ketorolac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Arginine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hydrochloride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764342" w:rsidRPr="008A15DF" w:rsidRDefault="00764342" w:rsidP="00764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5 500 тис. грн</w:t>
      </w:r>
    </w:p>
    <w:p w:rsidR="00764342" w:rsidRPr="008A15DF" w:rsidRDefault="00764342" w:rsidP="00764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2216"/>
        <w:gridCol w:w="1782"/>
        <w:gridCol w:w="2542"/>
        <w:gridCol w:w="1233"/>
        <w:gridCol w:w="1275"/>
      </w:tblGrid>
      <w:tr w:rsidR="008A15DF" w:rsidRPr="008A15DF" w:rsidTr="00325B61">
        <w:tc>
          <w:tcPr>
            <w:tcW w:w="516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Міжнародна непатентована назва **</w:t>
            </w:r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 АТХ</w:t>
            </w:r>
          </w:p>
        </w:tc>
        <w:tc>
          <w:tcPr>
            <w:tcW w:w="2542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Форма випуску, дозування </w:t>
            </w:r>
          </w:p>
        </w:tc>
        <w:tc>
          <w:tcPr>
            <w:tcW w:w="1233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Одиниця виміру</w:t>
            </w:r>
          </w:p>
        </w:tc>
        <w:tc>
          <w:tcPr>
            <w:tcW w:w="1275" w:type="dxa"/>
            <w:vAlign w:val="bottom"/>
          </w:tcPr>
          <w:p w:rsidR="00764342" w:rsidRPr="008A15DF" w:rsidRDefault="00764342" w:rsidP="00325B61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Кількість</w:t>
            </w:r>
          </w:p>
        </w:tc>
      </w:tr>
      <w:tr w:rsidR="008A15DF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Antral</w:t>
            </w:r>
            <w:proofErr w:type="spellEnd"/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A05B A50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табл. в/о 0,2 г, №30</w:t>
            </w:r>
          </w:p>
        </w:tc>
        <w:tc>
          <w:tcPr>
            <w:tcW w:w="1233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8A15DF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Propofol</w:t>
            </w:r>
            <w:proofErr w:type="spellEnd"/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N01A X10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ЕДТА*, емульсія д/і 20мг/мл,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фл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50 мл, №1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8A15DF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Betamethasone</w:t>
            </w:r>
            <w:proofErr w:type="spellEnd"/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H02A B01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р-н д/і 4 мг/мл,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амп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. 1 мл, №5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8A15DF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Vitamin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B1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combination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with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vitamin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B6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and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or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vitamin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B12</w:t>
            </w:r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A11DB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р-н д/і,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амп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2 мл, №5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</w:tr>
      <w:tr w:rsidR="008A15DF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Dextrose</w:t>
            </w:r>
            <w:proofErr w:type="spellEnd"/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B05 CX01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р-н д/і 40%,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амп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20 мл, №10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A15DF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Dexamethasone</w:t>
            </w:r>
            <w:proofErr w:type="spellEnd"/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H02A B02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р-н д/і 4 мг/мл,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амп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. 1мл, №10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400</w:t>
            </w:r>
          </w:p>
        </w:tc>
      </w:tr>
      <w:tr w:rsidR="008A15DF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Nefopam</w:t>
            </w:r>
            <w:proofErr w:type="spellEnd"/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N02B G06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р-н д/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. 10мг/мл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амп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. 2мл №5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700</w:t>
            </w:r>
          </w:p>
        </w:tc>
      </w:tr>
      <w:tr w:rsidR="008A15DF" w:rsidRPr="008A15DF" w:rsidTr="00325B61">
        <w:trPr>
          <w:trHeight w:val="755"/>
        </w:trPr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6" w:type="dxa"/>
          </w:tcPr>
          <w:p w:rsidR="00764342" w:rsidRPr="008A15DF" w:rsidRDefault="00764342" w:rsidP="008A15D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Betamethasone</w:t>
            </w:r>
            <w:proofErr w:type="spellEnd"/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H02A B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сусп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д/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ін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амп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1 мл, №5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  <w:tr w:rsidR="008A15DF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Lesfal</w:t>
            </w:r>
            <w:proofErr w:type="spellEnd"/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A05B A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р-н д/і 50 мг/мл,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амп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. 5 мл, №5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15DF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Omeprazole</w:t>
            </w:r>
            <w:proofErr w:type="spellEnd"/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A02B C01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пор. для р-ну д/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інф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., 40 мг, №1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8A15DF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Omeprazole</w:t>
            </w:r>
            <w:proofErr w:type="spellEnd"/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A02B C01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капс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20 мг, №30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A15DF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Dexketoprofen</w:t>
            </w:r>
            <w:proofErr w:type="spellEnd"/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М01А Е17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р-н д/і, 50 мг/ 2 мл,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амп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. 2 мл, №10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6000</w:t>
            </w:r>
          </w:p>
        </w:tc>
      </w:tr>
      <w:tr w:rsidR="008A15DF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Enoxaparin</w:t>
            </w:r>
            <w:proofErr w:type="spellEnd"/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B01A B05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р-н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10000 анти-Ха МО/мл, шприц 0,4 мл (4000 анти-Ха МО), 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5000</w:t>
            </w:r>
          </w:p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15DF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Enoxaparin</w:t>
            </w:r>
            <w:proofErr w:type="spellEnd"/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B01A B05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р-н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10000 анти-Ха МО/мл, 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шприц 0,2 мл (2000 анти-Ха МО), 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A15DF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Comb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N05C B02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краплі оральні,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фл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25 мл, №1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8A15DF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Nalbuphine</w:t>
            </w:r>
            <w:proofErr w:type="spellEnd"/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N02A F02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р-н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10 мг/мл,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амп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. 1 мл, №5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A15DF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Tolperisone</w:t>
            </w:r>
            <w:proofErr w:type="spellEnd"/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M03B X04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р-н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амп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. 1 мл, №5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  <w:tr w:rsidR="008A15DF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Dexamethasone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H02A B02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р-н д/і 4 мг/мл,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амп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. 1 мл, №10 (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темне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скло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A15DF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Ketorolac</w:t>
            </w:r>
            <w:proofErr w:type="spellEnd"/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M01A B15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р-н д/і 30 мг/мл,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амп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. 1 мл, №10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64342" w:rsidRPr="008A15DF" w:rsidTr="00325B61">
        <w:tc>
          <w:tcPr>
            <w:tcW w:w="516" w:type="dxa"/>
            <w:vAlign w:val="bottom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6" w:type="dxa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Arginine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hydrochloride</w:t>
            </w:r>
            <w:proofErr w:type="spellEnd"/>
          </w:p>
        </w:tc>
        <w:tc>
          <w:tcPr>
            <w:tcW w:w="1782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B05X B01</w:t>
            </w:r>
          </w:p>
        </w:tc>
        <w:tc>
          <w:tcPr>
            <w:tcW w:w="2542" w:type="dxa"/>
            <w:vAlign w:val="center"/>
          </w:tcPr>
          <w:p w:rsidR="00764342" w:rsidRPr="008A15DF" w:rsidRDefault="00764342" w:rsidP="00325B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р-н д/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інф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. 42 мг/мл, 100 мл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фл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., №1</w:t>
            </w:r>
          </w:p>
        </w:tc>
        <w:tc>
          <w:tcPr>
            <w:tcW w:w="1233" w:type="dxa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64342" w:rsidRPr="008A15DF" w:rsidRDefault="00764342" w:rsidP="00325B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764342" w:rsidRPr="008A15DF" w:rsidRDefault="00764342" w:rsidP="00764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764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64342" w:rsidRPr="008A15DF" w:rsidRDefault="00764342" w:rsidP="0076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(CPV): </w:t>
      </w:r>
      <w:r w:rsidRPr="008A1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33600000-6 — Фармацевтична продукція</w:t>
      </w:r>
    </w:p>
    <w:p w:rsidR="00764342" w:rsidRPr="008A15DF" w:rsidRDefault="00764342" w:rsidP="0076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Медичні розчини </w:t>
      </w:r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(</w:t>
      </w:r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Ropivacaine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hydrochloride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Ropivacaine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hydrochloride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Arginine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hydrochloride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Ceftriaxone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Ceftazidime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Cefepime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Methoxyflurane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Metamizole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sodium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Edaravone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Mexidol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Pr="008A1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Bupivacaine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Magnesium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sulfate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Nalbuphine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Pentoxifylline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Tranexamic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acid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Saccharated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iron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oxide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Citicoline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Aminocaproic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acid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Esmolol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Comb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drug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Pr="008A1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Comb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drug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Comb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drug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Aqua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injectioni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Hydroxyethylstarch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Hydroxyethylstarch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Glucose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Decamethoxin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Pr="008A1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Decamethoxin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Dexmedetomidine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Paracetamol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Electrolytes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combination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with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other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drugs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Levofloxacin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Linezolid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Cefoperazone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and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beta-lactamase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inhibitor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Metronidazole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Sodium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bicarbonate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Sodium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bicarbonate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Sodium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chloride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Sodium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chloride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Sodium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chloride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Sodium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chloride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764342" w:rsidRPr="008A15DF" w:rsidRDefault="00764342" w:rsidP="00764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4342" w:rsidRPr="008A15DF" w:rsidRDefault="00764342" w:rsidP="0076434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4500 тис. грн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7"/>
        <w:gridCol w:w="2203"/>
        <w:gridCol w:w="1688"/>
        <w:gridCol w:w="2730"/>
        <w:gridCol w:w="1276"/>
        <w:gridCol w:w="1275"/>
      </w:tblGrid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Назва*, ф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орма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випуску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дозування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Код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АТХ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Міжнародна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непатентована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назва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Одиниця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виміру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Ропілонг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7,5 мг/мл по 10 мл у ампулах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скляних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№5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N01B B09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Ropivacaine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hydrochloride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пачка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Ропілонг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 мг/мл по 100 мл у флаконах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скляних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N01B B09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Ropivacaine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hydrochloride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флакон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250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Тівортін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42 мг/мл по 100 мл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В05ХВ01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Arginine hydrochloride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Цефтриаксон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порошок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приготування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розчину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1000 мг, 1 флакон з порошком у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коробці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J01DD04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Ceftriaxone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пачка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Цефтазидим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порошок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розчину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1000 мг, по 1 флакону з порошком у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коробці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J01D D02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Ceftazidime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пачка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Цефепім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порошок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розчину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1000 мг, 1 флакон з порошком у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коробці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J01D E01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Cefepime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пачка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Метоксифлуран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інгаляцій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2 мл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N02BG09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Methoxyflurane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флакон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8A15DF" w:rsidRPr="008A15DF" w:rsidTr="00764342">
        <w:trPr>
          <w:trHeight w:val="7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Анальгін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500 мг/мл по 2 мл в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ампулі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№10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N02BB02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Metamizole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sodium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пачка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810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КСАВРОН,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ін`єкцій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1,5 мг/мл по 20 мл в ампулах №10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N07 ХХ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bookmarkStart w:id="1" w:name="_Hlk127368554"/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Edaravone</w:t>
            </w:r>
            <w:bookmarkEnd w:id="1"/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Лодиксем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50 мг/мл по 5 мл в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ампулі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№5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N07Х Х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Mexidol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пач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Лонгокаїн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ін’єкцій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2,5 мг/мл по 200 мл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N01BB01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Bupivacaine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336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Магнію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сульфат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250 мг/мл по 5мл в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ампулі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№10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B05XA05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Magnesium sulfate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пачка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НАЛБУФІН,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10 мг/мл, по 1 мл в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ампулі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№10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N02A F02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Nalbuphine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пачка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Пентоксифілін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20 мг/мл по 5 мл в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ампулі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№10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С04A D03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Pentoxifylline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пачка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САНГЕРА,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ін`єкцій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100 мг/мл по 10 мл в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ампулі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№5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B02AA02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Tranexamic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acid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пачка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280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Суфер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внутрішньовенних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20 мг/мл по 5 мл в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ампулі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№5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B03AC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Saccharated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iron oxide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пачка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Цитокон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250 мг/мл по 4 мл в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ампулі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№5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N06BX06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Citicoline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пачка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Кислота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амінокапронова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50 мг/мл по 100 мл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В02А А01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Aminocaproic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acid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Біблок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10 мг/мл, по 50 мл у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контейнері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полімерному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С07A В09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Esmolol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конт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ейнер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Реосорбілакт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200 мл у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пляшках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скляних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B05BB04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Comb drug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840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Реосорбілакт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400 мл у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пляшках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скляних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B05BB04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Comb drug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2500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Рінгера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400 мл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B05BB01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Comb drug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48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Вода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розчинник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парентерального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1000 мл контейнер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полімерний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V07AB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Aqua pro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injectioni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Гекодез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60 мг/мл по 200 мл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B05AA07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Hydroxyethylstarch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48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Гекодез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60 мг/мл по 400 мл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B05AA07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Hydroxyethylstarch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240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ГЛЮКОЗА,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50 мг/мл; по 400 мл у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пляшках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скляних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B05CX01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Glucose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Декасан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0,2 мг/мл по 200 мл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D08A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Decamethoxin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Декасан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0,2 мг/мл по 400 мл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D08A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Decamethoxin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3000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КВАНАДЕКС, концентрат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розчину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100 мкг/мл, по 2 мл у ампулах №5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N05C M18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Dexmedetomidine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пачка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ІНФУЛГАН,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10 мг/мл; по 100 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мл в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пляшці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; по 1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пляшці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пачці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 картону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N02BE01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Paracetamol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3000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Ксилат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200 мл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B05XA31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Electrolytes in combination with other drugs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ЛЕФЛОЦИН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5 мг/мл по 100 мл, по 1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пляшці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пачці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J01MA12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Levofloxacin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ЛІНЕЛІД,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 мг/мл, по 300 мл у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контейнері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полімерному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J01XX08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Linezolid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контейнер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Лаксерс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порошок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розчину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1000 мг/ 1000 мг, по 1 флакону з порошком у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пачці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 картону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J01DD62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Cefoperazone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and beta-lactamase inhibitor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пачка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Метронідазол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5 мг/мл по 100 мл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J01XD01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Metronidazole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4500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Натрію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гідрокарбонат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40 мг/мл по 100 мл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B05XA02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Sodium bicarbonate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Натрію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гідрокарбонат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40 мг/мл по 200 мл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B05XA02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Sodium bicarbonate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Натрію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хлорид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9 мг/мл по 100 мл у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пляшках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B05XA03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Натрію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хлорид,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9 мг/мл по 200 мл у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пляшках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B05XA03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12000</w:t>
            </w:r>
          </w:p>
        </w:tc>
      </w:tr>
      <w:tr w:rsidR="008A15DF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Натрію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хлорид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9 мг/мл по 3000 мл 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у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контейнері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полімерному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B05XA03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конт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3600</w:t>
            </w:r>
          </w:p>
        </w:tc>
      </w:tr>
      <w:tr w:rsidR="00764342" w:rsidRPr="008A15DF" w:rsidTr="007643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Натрію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хлорид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9 мг/мл по 400 мл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B05XA03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пляшка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2" w:rsidRPr="008A15DF" w:rsidRDefault="0076434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15000</w:t>
            </w:r>
          </w:p>
        </w:tc>
      </w:tr>
    </w:tbl>
    <w:p w:rsidR="00764342" w:rsidRPr="008A15DF" w:rsidRDefault="00764342" w:rsidP="00764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(CPV): </w:t>
      </w:r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33600000-6 — Фармацевтична продукція</w:t>
      </w: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2" w:name="_Hlk127539997"/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Fentanyl</w:t>
      </w:r>
      <w:proofErr w:type="spellEnd"/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Trimeperidine</w:t>
      </w:r>
      <w:proofErr w:type="spellEnd"/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Comb drug</w:t>
      </w:r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Diazepam</w:t>
      </w:r>
      <w:proofErr w:type="spellEnd"/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Diazepam</w:t>
      </w:r>
      <w:proofErr w:type="spellEnd"/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 </w:t>
      </w:r>
      <w:proofErr w:type="spellStart"/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Morphine</w:t>
      </w:r>
      <w:proofErr w:type="spellEnd"/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Natrii</w:t>
      </w:r>
      <w:proofErr w:type="spellEnd"/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oxybutyras</w:t>
      </w:r>
      <w:proofErr w:type="spellEnd"/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bookmarkEnd w:id="2"/>
    <w:p w:rsidR="00B2669C" w:rsidRPr="008A15DF" w:rsidRDefault="00B2669C" w:rsidP="00B266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4800 тис. грн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"/>
        <w:gridCol w:w="2177"/>
        <w:gridCol w:w="1725"/>
        <w:gridCol w:w="2421"/>
        <w:gridCol w:w="1231"/>
        <w:gridCol w:w="1275"/>
      </w:tblGrid>
      <w:tr w:rsidR="008A15DF" w:rsidRPr="008A15DF" w:rsidTr="00B2669C">
        <w:trPr>
          <w:trHeight w:val="9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Міжнародна непатентована назва*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 АТХ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Форма випуску, дозування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Кількість</w:t>
            </w:r>
          </w:p>
        </w:tc>
      </w:tr>
      <w:tr w:rsidR="008A15DF" w:rsidRPr="008A15DF" w:rsidTr="00B2669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Fentanyl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Фент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аніл-Розчин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0,05 мг/мл, по 2 мл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16000</w:t>
            </w:r>
          </w:p>
        </w:tc>
      </w:tr>
      <w:tr w:rsidR="008A15DF" w:rsidRPr="008A15DF" w:rsidTr="00B2669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after="200" w:line="276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Trimeperidine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N02AB04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Промедол-Розчин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2 % по 1 мл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10000</w:t>
            </w:r>
          </w:p>
        </w:tc>
      </w:tr>
      <w:tr w:rsidR="008A15DF" w:rsidRPr="008A15DF" w:rsidTr="00B2669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after="200" w:line="276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Comb drug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N02AA51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Омнопон-Розчин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1 мл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3000</w:t>
            </w:r>
          </w:p>
        </w:tc>
      </w:tr>
      <w:tr w:rsidR="008A15DF" w:rsidRPr="008A15DF" w:rsidTr="00B2669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after="200" w:line="276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bookmarkStart w:id="3" w:name="_Hlk127520480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Diazepam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N05BA01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Сибазон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0.5% по 2 мл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5000</w:t>
            </w:r>
          </w:p>
        </w:tc>
        <w:bookmarkEnd w:id="3"/>
      </w:tr>
      <w:tr w:rsidR="008A15DF" w:rsidRPr="008A15DF" w:rsidTr="00B2669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after="200" w:line="276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Diazepam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N05BA01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Сибазон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табл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-Таблетки по 0,005 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таб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500</w:t>
            </w:r>
          </w:p>
        </w:tc>
      </w:tr>
      <w:tr w:rsidR="008A15DF" w:rsidRPr="008A15DF" w:rsidTr="00B2669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after="200" w:line="276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Morphine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N02AA01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Морфій-розчин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1 % по 1 мл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</w:tr>
      <w:tr w:rsidR="00B2669C" w:rsidRPr="008A15DF" w:rsidTr="00B2669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after="200" w:line="276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bookmarkStart w:id="4" w:name="_Hlk127520506"/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Natrii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oxybutyras</w:t>
            </w:r>
            <w:bookmarkEnd w:id="4"/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N01AX11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Натрій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оксибутират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20% по 10 мл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250</w:t>
            </w:r>
          </w:p>
        </w:tc>
      </w:tr>
    </w:tbl>
    <w:p w:rsidR="004A4D45" w:rsidRPr="008A15DF" w:rsidRDefault="004A4D45" w:rsidP="007643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83D" w:rsidRPr="008A15DF" w:rsidRDefault="001F283D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(CPV): </w:t>
      </w:r>
      <w:r w:rsidRPr="008A1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33600000-6 — Фармацевтична продукція</w:t>
      </w:r>
    </w:p>
    <w:p w:rsidR="00B2669C" w:rsidRPr="008A15DF" w:rsidRDefault="006C0051" w:rsidP="00B2669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7" w:history="1">
        <w:r w:rsidR="00B2669C" w:rsidRPr="008A15DF">
          <w:rPr>
            <w:rStyle w:val="a8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Фармацевтична продукція (</w:t>
        </w:r>
        <w:proofErr w:type="spellStart"/>
        <w:r w:rsidR="00B2669C" w:rsidRPr="008A15DF">
          <w:rPr>
            <w:rStyle w:val="a8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міорелаксанти</w:t>
        </w:r>
        <w:proofErr w:type="spellEnd"/>
        <w:r w:rsidR="00B2669C" w:rsidRPr="008A15DF">
          <w:rPr>
            <w:rStyle w:val="a8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)</w:t>
        </w:r>
      </w:hyperlink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Atracurium</w:t>
      </w:r>
      <w:proofErr w:type="spellEnd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Atracurium</w:t>
      </w:r>
      <w:proofErr w:type="spellEnd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Heparin</w:t>
      </w:r>
      <w:proofErr w:type="spellEnd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Dexmedetomidine</w:t>
      </w:r>
      <w:proofErr w:type="spellEnd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Levofloxacin</w:t>
      </w:r>
      <w:proofErr w:type="spellEnd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Metronidazole</w:t>
      </w:r>
      <w:proofErr w:type="spellEnd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Bupivacaine</w:t>
      </w:r>
      <w:proofErr w:type="spellEnd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Paracetamol</w:t>
      </w:r>
      <w:proofErr w:type="spellEnd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Propofol</w:t>
      </w:r>
      <w:proofErr w:type="spellEnd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Hydroxyethylstarch</w:t>
      </w:r>
      <w:proofErr w:type="spellEnd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Hydroxyethylstarch</w:t>
      </w:r>
      <w:proofErr w:type="spellEnd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Sevoflurane</w:t>
      </w:r>
      <w:proofErr w:type="spellEnd"/>
      <w:r w:rsidR="00B2669C"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B2669C" w:rsidRPr="008A15DF" w:rsidRDefault="00B2669C" w:rsidP="00B2669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1850,00 тис. грн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2835"/>
        <w:gridCol w:w="1276"/>
        <w:gridCol w:w="1134"/>
      </w:tblGrid>
      <w:tr w:rsidR="008A15DF" w:rsidRPr="008A15DF" w:rsidTr="00B2669C">
        <w:trPr>
          <w:trHeight w:val="1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Найменування</w:t>
            </w:r>
            <w:proofErr w:type="spellEnd"/>
          </w:p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еквівалент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*)</w:t>
            </w:r>
          </w:p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Міжнародна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непатентована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назва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Код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АТХ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Форма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випуску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дозування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Одиниця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</w:tr>
      <w:tr w:rsidR="008A15DF" w:rsidRPr="008A15DF" w:rsidTr="00B2669C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Atracurium</w:t>
            </w:r>
            <w:proofErr w:type="spellEnd"/>
          </w:p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M03A C04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р-н д/ін.10мг/мл 5 мл у флаконах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A15DF" w:rsidRPr="008A15DF" w:rsidTr="00B2669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Atracurium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M03A C04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р-н д/ін.10мг/мл 2,5 мл у флаконах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2000</w:t>
            </w:r>
          </w:p>
        </w:tc>
      </w:tr>
      <w:tr w:rsidR="008A15DF" w:rsidRPr="008A15DF" w:rsidTr="00B2669C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Heparin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В01А В01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р-н д/ін.5000МО/мл 5мл  у флаконах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500</w:t>
            </w:r>
          </w:p>
        </w:tc>
      </w:tr>
      <w:tr w:rsidR="008A15DF" w:rsidRPr="008A15DF" w:rsidTr="00B2669C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Dexmedetomidine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N05CM18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концентрат для р-ну для 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, 100 мкг/мл 2 мл у флаконах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480</w:t>
            </w:r>
          </w:p>
        </w:tc>
      </w:tr>
      <w:tr w:rsidR="008A15DF" w:rsidRPr="008A15DF" w:rsidTr="00B2669C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Levofloxacin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J01M A12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р-н д/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інф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. 5мг/мл 100мл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Metronidazole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J01X D01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р-н д/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інф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5 мг/мл 100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616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Bupivacaine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N01B B01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р-н д/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ін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. 5мг/мл 5мл у флаконах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Paracetamol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N02B E01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р-н д/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ін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. по 10 мг/мл </w:t>
            </w:r>
          </w:p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по 100 мл у 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флаконі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№10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4000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Propofol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N01A X10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Емульсія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інф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. 10мг/мл 20мл у 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пляшках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5000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Hydroxyethylstarch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B05A A07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р-н д/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інф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. 60 мг/мл 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48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Hydroxyethylstarch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B05A A07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р-н д/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інф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. 60 мг/мл 400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960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Sevoflurane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N01A B08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Рідина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інгаляцій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по 250 мл у 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флаконі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ковпачком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системи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Quik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fil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флакон з адаптером для 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системи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Quik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fil</w:t>
            </w:r>
            <w:proofErr w:type="spellEnd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162</w:t>
            </w:r>
          </w:p>
        </w:tc>
      </w:tr>
    </w:tbl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15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(CPV): </w:t>
      </w:r>
      <w:r w:rsidRPr="008A1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33600000-6: Фармацевтична продукція </w:t>
      </w: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1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(антибіотики, судинні та </w:t>
      </w:r>
      <w:proofErr w:type="spellStart"/>
      <w:r w:rsidRPr="008A1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протинабрякові</w:t>
      </w:r>
      <w:proofErr w:type="spellEnd"/>
      <w:r w:rsidRPr="008A1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препарати)</w:t>
      </w:r>
    </w:p>
    <w:p w:rsidR="00B2669C" w:rsidRPr="008A15DF" w:rsidRDefault="00B2669C" w:rsidP="00B2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1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L-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Lysine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aescinat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Pr="008A1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Azithromycin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Amikacin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Amoxicillin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/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clavulanic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acid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Amoxicillin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/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clavulanic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acid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Potassium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uk-UA"/>
        </w:rPr>
        <w:t>and</w:t>
      </w:r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magnesium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aspartate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Acetylsalicylic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acid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Cefoperazone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and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beta-lactamase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inhibitor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Cefoperazone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Diphenhydramine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Cefuroxime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Cefuroxime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Lidocaine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Linezolid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Linezolid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Loperamide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Loratadine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Magnesium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sulfate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,</w:t>
      </w:r>
      <w:r w:rsidRPr="008A1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Meropenem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Ipidacrine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Nifuroxazide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Thiopental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Comb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drug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(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Thiotriazolin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/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Piracetam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),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Cefotaxime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Ceftriaxone</w:t>
      </w:r>
      <w:proofErr w:type="spellEnd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8A1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Ceftazidime</w:t>
      </w:r>
      <w:proofErr w:type="spellEnd"/>
      <w:r w:rsidRPr="008A1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B2669C" w:rsidRPr="008A15DF" w:rsidRDefault="00B2669C" w:rsidP="00B266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1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2900,00 </w:t>
      </w:r>
      <w:proofErr w:type="spellStart"/>
      <w:r w:rsidRPr="008A1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тис.грн</w:t>
      </w:r>
      <w:proofErr w:type="spellEnd"/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2977"/>
        <w:gridCol w:w="992"/>
        <w:gridCol w:w="1276"/>
      </w:tblGrid>
      <w:tr w:rsidR="008A15DF" w:rsidRPr="008A15DF" w:rsidTr="00B2669C">
        <w:trPr>
          <w:trHeight w:val="1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Найменування</w:t>
            </w:r>
            <w:proofErr w:type="spellEnd"/>
          </w:p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еквівалент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*)</w:t>
            </w:r>
          </w:p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Міжнародна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непатентована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назва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Код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АТХ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Форма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випуску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дозування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Одиниця</w:t>
            </w:r>
            <w:proofErr w:type="spellEnd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15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</w:tr>
      <w:tr w:rsidR="008A15DF" w:rsidRPr="008A15DF" w:rsidTr="00B2669C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L-Lysine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aescinat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C05CX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1 мг/мл - 5 мл №10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A15DF" w:rsidRPr="008A15DF" w:rsidTr="00B2669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Azithromycin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J01FA10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порошок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оральної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суспензії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200 мг/5 мл по 30 мл у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флаконі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8A15DF" w:rsidRPr="008A15DF" w:rsidTr="00B2669C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Amikacin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J01GB06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ліофілізат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розчину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1.0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800</w:t>
            </w:r>
          </w:p>
        </w:tc>
      </w:tr>
      <w:tr w:rsidR="008A15DF" w:rsidRPr="008A15DF" w:rsidTr="00B2669C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Amoxicillin/ clavulanic acid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J01CR02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порошок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розчину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1.2 г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2100</w:t>
            </w:r>
          </w:p>
        </w:tc>
      </w:tr>
      <w:tr w:rsidR="008A15DF" w:rsidRPr="008A15DF" w:rsidTr="00B2669C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Amoxicillin/ clavulanic acid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J01CR02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таблетки,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вкриті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плівковою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оболонкою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по 500 мг/125 мг №14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Potassium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and magnesium aspartate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А12СС30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10 мл №10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Acetylsalicylic acid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N02BA01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таблетки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по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500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мг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№10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Cefoperazone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and beta-lactamase inhibitor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J01D D62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порошок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розчину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1.0 г/1.0 г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360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Cefoperazone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J01D D12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порошок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розчину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ін’єкцій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1.0 г №10 (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конт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.) в/в. в/м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180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Diphenhydramine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R06AA02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10 мг/мл по 1 мл №10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1400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Cefuroxime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J01D С02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порошок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розчину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0.75 г у флаконах №1 в/в. в/м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3200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Cefuroxime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J01D С02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порошок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розчину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1.5 г у флаконах №1 в/в. в/м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600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Lidocaine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N01BB02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20 мг/мл по 2 мл №10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1900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Linezolid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J01XX08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2 мг/мл по 300 мл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300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Linezolid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J01XX08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таблетки,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вкриті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плівковою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оболонкою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по 600 мг №10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Loperamide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A07DA03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таблетки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по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мг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№20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Loratadine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R06AX13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таблетки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по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мг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№10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Magnesium sulfate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B05XA05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250 мг/мл по 5 мл №10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Meropenem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J01DH02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порошок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розчину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1.0 г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1800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Ipidacrine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N07AA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для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ін’єкцій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1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мл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№10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Nifuroxazide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A07AX03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таблетки,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вкриті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плівковою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оболонкою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по 200 мг №20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Thiopental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N01AF03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ліофілізат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розчину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1.0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960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Comb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drug (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Thiotriazolin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Piracetam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N06BX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10 мл №10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Cefotaxime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J01DD01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порошок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розчину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1.0 г №10 (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конт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.) в/в. в/м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Ceftriaxone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J01DD04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порошок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розчину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1.0 г у флаконах №10 (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конт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.) в/в. в/м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6000</w:t>
            </w:r>
          </w:p>
        </w:tc>
      </w:tr>
      <w:tr w:rsidR="008A15DF" w:rsidRPr="008A15DF" w:rsidTr="00B26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69C" w:rsidRPr="008A15DF" w:rsidRDefault="00B2669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Ceftazidime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J01D D02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порошок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розчину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ін'єкцій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1.0 г №10 (</w:t>
            </w: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конт</w:t>
            </w:r>
            <w:proofErr w:type="spellEnd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.) в/в. в/м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C" w:rsidRPr="008A15DF" w:rsidRDefault="00B2669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A15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</w:tbl>
    <w:p w:rsidR="00B2669C" w:rsidRPr="008A15DF" w:rsidRDefault="00B2669C" w:rsidP="007643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2669C" w:rsidRPr="008A15DF" w:rsidSect="00B2669C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D3" w:rsidRDefault="00B846D3" w:rsidP="00B2669C">
      <w:pPr>
        <w:spacing w:after="0" w:line="240" w:lineRule="auto"/>
      </w:pPr>
      <w:r>
        <w:separator/>
      </w:r>
    </w:p>
  </w:endnote>
  <w:endnote w:type="continuationSeparator" w:id="0">
    <w:p w:rsidR="00B846D3" w:rsidRDefault="00B846D3" w:rsidP="00B2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459319"/>
      <w:docPartObj>
        <w:docPartGallery w:val="Page Numbers (Bottom of Page)"/>
        <w:docPartUnique/>
      </w:docPartObj>
    </w:sdtPr>
    <w:sdtEndPr/>
    <w:sdtContent>
      <w:p w:rsidR="00B2669C" w:rsidRDefault="00B266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051" w:rsidRPr="006C0051">
          <w:rPr>
            <w:noProof/>
            <w:lang w:val="ru-RU"/>
          </w:rPr>
          <w:t>14</w:t>
        </w:r>
        <w:r>
          <w:fldChar w:fldCharType="end"/>
        </w:r>
      </w:p>
    </w:sdtContent>
  </w:sdt>
  <w:p w:rsidR="00B2669C" w:rsidRDefault="00B266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D3" w:rsidRDefault="00B846D3" w:rsidP="00B2669C">
      <w:pPr>
        <w:spacing w:after="0" w:line="240" w:lineRule="auto"/>
      </w:pPr>
      <w:r>
        <w:separator/>
      </w:r>
    </w:p>
  </w:footnote>
  <w:footnote w:type="continuationSeparator" w:id="0">
    <w:p w:rsidR="00B846D3" w:rsidRDefault="00B846D3" w:rsidP="00B2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E8A"/>
    <w:multiLevelType w:val="multilevel"/>
    <w:tmpl w:val="8E2CC3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156F3"/>
    <w:multiLevelType w:val="multilevel"/>
    <w:tmpl w:val="EEC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A6157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4010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73425"/>
    <w:multiLevelType w:val="hybridMultilevel"/>
    <w:tmpl w:val="B07CFB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D"/>
    <w:rsid w:val="00025D92"/>
    <w:rsid w:val="000E2148"/>
    <w:rsid w:val="0019709B"/>
    <w:rsid w:val="001F283D"/>
    <w:rsid w:val="0020465D"/>
    <w:rsid w:val="00213167"/>
    <w:rsid w:val="00285815"/>
    <w:rsid w:val="002A7016"/>
    <w:rsid w:val="00407862"/>
    <w:rsid w:val="00454B35"/>
    <w:rsid w:val="004A4D45"/>
    <w:rsid w:val="004F2E8F"/>
    <w:rsid w:val="0050135A"/>
    <w:rsid w:val="006C0051"/>
    <w:rsid w:val="00753707"/>
    <w:rsid w:val="00764342"/>
    <w:rsid w:val="007776FF"/>
    <w:rsid w:val="008A15DF"/>
    <w:rsid w:val="00A4391B"/>
    <w:rsid w:val="00AD712D"/>
    <w:rsid w:val="00B2669C"/>
    <w:rsid w:val="00B325D2"/>
    <w:rsid w:val="00B846D3"/>
    <w:rsid w:val="00BD3679"/>
    <w:rsid w:val="00E4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AF5A"/>
  <w15:chartTrackingRefBased/>
  <w15:docId w15:val="{E9028B4D-29D4-4787-8EC4-EB0D3F8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16"/>
    <w:pPr>
      <w:spacing w:line="256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13167"/>
    <w:pPr>
      <w:keepNext/>
      <w:widowControl w:val="0"/>
      <w:spacing w:before="240" w:after="60" w:line="240" w:lineRule="auto"/>
      <w:ind w:left="1416" w:hanging="708"/>
      <w:outlineLvl w:val="1"/>
    </w:pPr>
    <w:rPr>
      <w:rFonts w:ascii="Arial Rounded MT Bold" w:eastAsia="Times New Roman" w:hAnsi="Arial Rounded MT Bold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2A701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2A701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F2E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rial3">
    <w:name w:val="Основной текст + Arial3"/>
    <w:aliases w:val="7,5 pt3"/>
    <w:rsid w:val="007776FF"/>
    <w:rPr>
      <w:rFonts w:ascii="Arial" w:hAnsi="Arial" w:cs="Arial" w:hint="default"/>
      <w:b/>
      <w:bCs w:val="0"/>
      <w:color w:val="000000"/>
      <w:sz w:val="15"/>
      <w:shd w:val="clear" w:color="auto" w:fill="FFFFFF"/>
      <w:lang w:val="uk-UA" w:eastAsia="uk-UA"/>
    </w:rPr>
  </w:style>
  <w:style w:type="paragraph" w:styleId="a6">
    <w:name w:val="Normal (Web)"/>
    <w:basedOn w:val="a"/>
    <w:link w:val="a7"/>
    <w:uiPriority w:val="99"/>
    <w:semiHidden/>
    <w:unhideWhenUsed/>
    <w:qFormat/>
    <w:rsid w:val="00BD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0E2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148"/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a5">
    <w:name w:val="Абзац списка Знак"/>
    <w:link w:val="a4"/>
    <w:uiPriority w:val="34"/>
    <w:locked/>
    <w:rsid w:val="000E2148"/>
    <w:rPr>
      <w:rFonts w:ascii="Calibri" w:eastAsia="Times New Roman" w:hAnsi="Calibri" w:cs="Times New Roman"/>
      <w:lang w:val="uk-UA"/>
    </w:rPr>
  </w:style>
  <w:style w:type="character" w:customStyle="1" w:styleId="20">
    <w:name w:val="Заголовок 2 Знак"/>
    <w:basedOn w:val="a0"/>
    <w:link w:val="2"/>
    <w:semiHidden/>
    <w:rsid w:val="00213167"/>
    <w:rPr>
      <w:rFonts w:ascii="Arial Rounded MT Bold" w:eastAsia="Times New Roman" w:hAnsi="Arial Rounded MT Bold" w:cs="Times New Roman"/>
      <w:b/>
      <w:i/>
      <w:sz w:val="24"/>
      <w:szCs w:val="20"/>
      <w:lang w:val="uk-UA" w:eastAsia="ru-RU"/>
    </w:rPr>
  </w:style>
  <w:style w:type="character" w:customStyle="1" w:styleId="a7">
    <w:name w:val="Обычный (веб) Знак"/>
    <w:link w:val="a6"/>
    <w:uiPriority w:val="99"/>
    <w:semiHidden/>
    <w:locked/>
    <w:rsid w:val="00B325D2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ітка таблиці2"/>
    <w:basedOn w:val="a1"/>
    <w:uiPriority w:val="59"/>
    <w:rsid w:val="00025D92"/>
    <w:pPr>
      <w:spacing w:after="0" w:line="240" w:lineRule="auto"/>
    </w:pPr>
    <w:rPr>
      <w:rFonts w:ascii="Calibri" w:eastAsia="Calibri" w:hAnsi="Calibri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uiPriority w:val="59"/>
    <w:rsid w:val="00025D9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2669C"/>
    <w:rPr>
      <w:color w:val="0563C1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B2669C"/>
  </w:style>
  <w:style w:type="paragraph" w:styleId="aa">
    <w:name w:val="header"/>
    <w:basedOn w:val="a"/>
    <w:link w:val="ab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69C"/>
    <w:rPr>
      <w:lang w:val="uk-UA"/>
    </w:rPr>
  </w:style>
  <w:style w:type="paragraph" w:styleId="ac">
    <w:name w:val="footer"/>
    <w:basedOn w:val="a"/>
    <w:link w:val="ad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669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7-09-003792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Huginn</cp:lastModifiedBy>
  <cp:revision>4</cp:revision>
  <dcterms:created xsi:type="dcterms:W3CDTF">2023-05-02T08:45:00Z</dcterms:created>
  <dcterms:modified xsi:type="dcterms:W3CDTF">2023-05-02T09:33:00Z</dcterms:modified>
</cp:coreProperties>
</file>